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Velasquez Ruben Dario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1101 SKOKIE BOULEVARD, SUITE 500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NORTHBROOK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60062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STEPAN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SCL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835"/>
        <w:gridCol w:w="447"/>
        <w:gridCol w:w="835"/>
        <w:gridCol w:w="1267"/>
        <w:gridCol w:w="987"/>
        <w:gridCol w:w="9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1,358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64.675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1,393.601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398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64.675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995.601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4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96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4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1,358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08/08/2026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08/08/2028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1,358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2,716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restricted stock units ("RSUs") were settled in shares of common stock per the terms of the award.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Withholding of shares to satisfy tax liability on the vesting of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stock unit ("RSU") represents a contingent right to receive one share of Stepan Company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Vest ratably over three years beginning on the date shown.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Darina A. Koleva, attorney-in-fact for Ruben D. Velasquez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8145" TargetMode="External"/><Relationship Id="rId5" Type="http://schemas.openxmlformats.org/officeDocument/2006/relationships/hyperlink" Target="http://www.sec.gov/cgi-bin/browse-edgar?action=getcompany&amp;CIK=00000940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657</Words>
  <Characters>3548</Characters>
  <CharactersWithSpaces>4115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