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9905d8k.htm"/>
      <w:bookmarkStart w:id="1" w:name="ksd13990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0"/>
        </w:rPr>
      </w:pPr>
      <w:r>
        <w:rPr>
          <w:rFonts w:ascii="Times New Roman" w:hAnsi="Times New Roman"/>
          <w:b/>
          <w:sz w:val="20"/>
        </w:rPr>
        <w:t>Pursuant to Section 13 or 15(d)</w:t>
      </w:r>
    </w:p>
    <w:p>
      <w:pPr>
        <w:pStyle w:val="TextBody"/>
        <w:bidi w:val="0"/>
        <w:spacing w:before="0" w:after="0"/>
        <w:jc w:val="center"/>
        <w:rPr>
          <w:rFonts w:ascii="Times New Roman" w:hAnsi="Times New Roman"/>
          <w:b/>
          <w:sz w:val="20"/>
        </w:rPr>
      </w:pPr>
      <w:r>
        <w:rPr>
          <w:rFonts w:ascii="Times New Roman" w:hAnsi="Times New Roman"/>
          <w:b/>
          <w:sz w:val="20"/>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STEPAN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Commission File Number: 1-4462</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98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36-1823834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1101 Skokie Boulevard, Suite 500, Northbrook, IL 60062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(847) 446-7500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65" w:type="dxa"/>
        <w:jc w:val="left"/>
        <w:tblInd w:w="0" w:type="dxa"/>
        <w:tblLayout w:type="fixed"/>
        <w:tblCellMar>
          <w:top w:w="0" w:type="dxa"/>
          <w:left w:w="0" w:type="dxa"/>
          <w:bottom w:w="0" w:type="dxa"/>
          <w:right w:w="0" w:type="dxa"/>
        </w:tblCellMar>
      </w:tblPr>
      <w:tblGrid>
        <w:gridCol w:w="2810"/>
        <w:gridCol w:w="60"/>
        <w:gridCol w:w="740"/>
        <w:gridCol w:w="60"/>
        <w:gridCol w:w="3095"/>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810" w:type="dxa"/>
            <w:tcBorders/>
            <w:vAlign w:val="center"/>
          </w:tcPr>
          <w:p>
            <w:pPr>
              <w:pStyle w:val="TableContents"/>
              <w:bidi w:val="0"/>
              <w:spacing w:before="0" w:after="283"/>
              <w:jc w:val="center"/>
              <w:rPr/>
            </w:pPr>
            <w:r>
              <w:rPr/>
              <w:t>Common Stock, $1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SCL</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1025"/>
        <w:gridCol w:w="3980"/>
      </w:tblGrid>
      <w:tr>
        <w:trPr/>
        <w:tc>
          <w:tcPr>
            <w:tcW w:w="102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29, 2026, Stepan Company (the “Company”) issued a press release providing its financial results for the quarter ended June 30, 2026. A copy of the press release is furnished herewith as Exhibit 99.1 and is incorporated by reference into this Item 2.02.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this Item 2.02, including Exhibit 99.1, shall not be deemed “filed” for purposes of Section 18 of the Securities Exchange Act of 1934, as amended (the “Exchange Act”), or otherwise subject to the liabilities of that section, and shall not be deemed incorporated by reference into any filing under the Securities Act of 1933, as amended (the “Securities Act”), except as expressly set forth by specific reference in such filing.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1025"/>
        <w:gridCol w:w="4175"/>
      </w:tblGrid>
      <w:tr>
        <w:trPr/>
        <w:tc>
          <w:tcPr>
            <w:tcW w:w="102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28, 2026, the Board of Directors (the “Board”) of the Company approved a plan to reduce the Company’s global salaried workforce by around 100 roles during the third quarter of 2026 as part of Project Catalyst, the Company’s previously announced comprehensive operational and efficiency initiative.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the Company anticipates recognizing full-year restructuring charges in the range of $75.0 million to $80.0 million in connection with Project Catalyst. Of that amount, the Company currently estimates that it will incur approximately $4 million to $6 million of charges in connection with the workforce reduction described above, consisting primarily of employee severance, benefits and related costs. The Company expects substantially all of these workforce reduction charges to result in cash expenditures. The Company expects to recognize the majority of these charges during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The estimated charges that the Company expects to incur are subject to several assumptions, and actual results may differ materially from these estimates. The Company may incur additional costs due to events associated with or resulting from Project Catalyst and the workforce reduction described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Resignation of Jan Stern Reed as a Director </w:t>
      </w:r>
    </w:p>
    <w:p>
      <w:pPr>
        <w:pStyle w:val="TextBody"/>
        <w:bidi w:val="0"/>
        <w:spacing w:before="120" w:after="0"/>
        <w:jc w:val="left"/>
        <w:rPr>
          <w:rFonts w:ascii="Times New Roman" w:hAnsi="Times New Roman"/>
          <w:sz w:val="20"/>
        </w:rPr>
      </w:pPr>
      <w:r>
        <w:rPr>
          <w:rFonts w:ascii="Times New Roman" w:hAnsi="Times New Roman"/>
          <w:sz w:val="20"/>
        </w:rPr>
        <w:t xml:space="preserve">On July 27, 2026, Jan Stern Reed notified the Company of her resignation from the Board of the Company, effective immediately following the conclusion of the Board and committee meetings held on July 27, 2026. Ms. Reed also resigned from all committees of the Board on which she served.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her resignation, Ms. Reed served as Chair of the Human Capital and Compensation Committee and as a member of the Audit Committee, the Compliance Committee, and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Ms. Reed’s resignation was not the result of any disagreement with the Company on any matter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thanks Ms. Reed for her service to the Board and her contributions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Ms. Reed’s departure, effective July 28, 2026, the Board appointed Randall S. Dearth as Chair of the Human Capital and Compensation Committee and Susan M. Lewis as Chair of the Compliance Committee. Lorinda A. Burgess continues to serve as Chair of the Audit Committee and Joaquin Delgado continues to serve as Chair of the Nominating and Corporate Governance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Appointment of Matthew J. Eaken as Principal Accounting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28, 2026, the Board appointed Matthew J. Eaken to serve as the Company’s Principal Accounting Officer, effective July 28, 2026. Mr. Eaken, age 63, has served as the Company’s Vice President and Corporate Controller since January 2011. Mr. Eaken joined the Company in June 1998 and has served in various accounting and finance leadership roles, including as Interim Vice President and Chief Financial Officer from January 2018 until April 2018.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no arrangements or understandings between Mr. Eaken and any other person pursuant to which he was appointed as Principal Accounting Officer. Mr. Eaken does not have any family relationship with any director or executive officer of the Company, and there are no transactions involving Mr. Eaken that would require disclosure under Item 404(a) of Regulation S-K.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025"/>
        <w:gridCol w:w="1190"/>
      </w:tblGrid>
      <w:tr>
        <w:trPr/>
        <w:tc>
          <w:tcPr>
            <w:tcW w:w="102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29, 2026, the Company issued a press release announcing that the Board had declared a quarterly cash dividend on the Company’s common stock of $0.395 per share. The dividend will be paid on September 15, 2026, to common stockholders of record as of September 1, 2026. A copy of the press release is attached as Exhibit 99.2 hereto and incorporated herein by reference. </w:t>
      </w:r>
    </w:p>
    <w:p>
      <w:pPr>
        <w:pStyle w:val="TextBody"/>
        <w:bidi w:val="0"/>
        <w:spacing w:before="360" w:after="0"/>
        <w:jc w:val="left"/>
        <w:rPr>
          <w:rFonts w:ascii="Times New Roman" w:hAnsi="Times New Roman"/>
          <w:sz w:val="20"/>
        </w:rPr>
      </w:pPr>
      <w:r>
        <w:rPr>
          <w:rFonts w:ascii="Times New Roman" w:hAnsi="Times New Roman"/>
          <w:b/>
          <w:sz w:val="20"/>
        </w:rPr>
        <w:t>Forward</w:t>
      </w:r>
      <w:r>
        <w:rPr>
          <w:rFonts w:ascii="Times New Roman" w:hAnsi="Times New Roman"/>
          <w:b/>
          <w:i/>
          <w:sz w:val="20"/>
        </w:rPr>
        <w:t>-</w:t>
      </w:r>
      <w:r>
        <w:rPr>
          <w:rFonts w:ascii="Times New Roman" w:hAnsi="Times New Roman"/>
          <w:b/>
          <w:sz w:val="20"/>
        </w:rPr>
        <w:t xml:space="preserve">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included in this Current Report on Form 8-K contains forward-looking statements within the meaning of the Private Securities Litigation Reform Act of 1995. These statements include, but are not limited to, statements about the Company’s plans, objectives, strategies, financial performance and outlook, trends, prospects, and future events. Actual results may differ materially from those expressed or implied by such forward-looking statements due to various risks and uncertainties, including those described in the Company’s filings with the Securities and Exchange Commission. These forward-looking statements are made only as of the date hereof, and the Company undertakes no obligation to update or revise these forward-looking statements, whether as a result of new information, future events or otherwise, except to the extent required by applicable laws.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75"/>
        <w:gridCol w:w="290"/>
        <w:gridCol w:w="7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Exhibit Number: 99.1 </w:t>
      </w:r>
    </w:p>
    <w:p>
      <w:pPr>
        <w:pStyle w:val="TextBody"/>
        <w:bidi w:val="0"/>
        <w:spacing w:before="0" w:after="0"/>
        <w:jc w:val="left"/>
        <w:rPr/>
      </w:pPr>
      <w:r>
        <w:rPr>
          <w:rFonts w:ascii="Times New Roman" w:hAnsi="Times New Roman"/>
          <w:sz w:val="20"/>
        </w:rPr>
        <w:t xml:space="preserve">Description: </w:t>
      </w:r>
      <w:hyperlink w:anchor="d139905dex991.htm">
        <w:r>
          <w:rPr>
            <w:rStyle w:val="InternetLink"/>
            <w:rFonts w:ascii="Times New Roman" w:hAnsi="Times New Roman"/>
            <w:sz w:val="20"/>
          </w:rPr>
          <w:t xml:space="preserve">Press Release of Stepan Company dated July 29, 2026, announcing second quarter 2026 financial results. </w:t>
        </w:r>
      </w:hyperlink>
    </w:p>
    <w:p>
      <w:pPr>
        <w:pStyle w:val="TextBody"/>
        <w:bidi w:val="0"/>
        <w:spacing w:before="120" w:after="0"/>
        <w:jc w:val="left"/>
        <w:rPr>
          <w:rFonts w:ascii="Times New Roman" w:hAnsi="Times New Roman"/>
          <w:sz w:val="20"/>
        </w:rPr>
      </w:pPr>
      <w:r>
        <w:rPr>
          <w:rFonts w:ascii="Times New Roman" w:hAnsi="Times New Roman"/>
          <w:sz w:val="20"/>
        </w:rPr>
        <w:t xml:space="preserve">Exhibit Number: 99.2 </w:t>
      </w:r>
    </w:p>
    <w:p>
      <w:pPr>
        <w:pStyle w:val="TextBody"/>
        <w:bidi w:val="0"/>
        <w:spacing w:before="0" w:after="0"/>
        <w:jc w:val="left"/>
        <w:rPr/>
      </w:pPr>
      <w:r>
        <w:rPr>
          <w:rFonts w:ascii="Times New Roman" w:hAnsi="Times New Roman"/>
          <w:sz w:val="20"/>
        </w:rPr>
        <w:t xml:space="preserve">Description: </w:t>
      </w:r>
      <w:hyperlink w:anchor="d139905dex992.htm">
        <w:r>
          <w:rPr>
            <w:rStyle w:val="InternetLink"/>
            <w:rFonts w:ascii="Times New Roman" w:hAnsi="Times New Roman"/>
            <w:sz w:val="20"/>
          </w:rPr>
          <w:t xml:space="preserve">Press Release of Stepan Company dated July 29, 2026, announcing quarterly cash dividend. </w:t>
        </w:r>
      </w:hyperlink>
    </w:p>
    <w:p>
      <w:pPr>
        <w:pStyle w:val="TextBody"/>
        <w:bidi w:val="0"/>
        <w:spacing w:before="120" w:after="0"/>
        <w:jc w:val="left"/>
        <w:rPr>
          <w:rFonts w:ascii="Times New Roman" w:hAnsi="Times New Roman"/>
          <w:sz w:val="20"/>
        </w:rPr>
      </w:pPr>
      <w:r>
        <w:rPr>
          <w:rFonts w:ascii="Times New Roman" w:hAnsi="Times New Roman"/>
          <w:sz w:val="20"/>
        </w:rPr>
        <w:t xml:space="preserve">Exhibit Number: 104 </w:t>
      </w:r>
    </w:p>
    <w:p>
      <w:pPr>
        <w:pStyle w:val="TextBody"/>
        <w:bidi w:val="0"/>
        <w:spacing w:before="0" w:after="0"/>
        <w:jc w:val="left"/>
        <w:rPr>
          <w:rFonts w:ascii="Times New Roman" w:hAnsi="Times New Roman"/>
          <w:sz w:val="20"/>
        </w:rPr>
      </w:pPr>
      <w:r>
        <w:rPr>
          <w:rFonts w:ascii="Times New Roman" w:hAnsi="Times New Roman"/>
          <w:sz w:val="20"/>
        </w:rPr>
        <w:t xml:space="preserve">Description: Cover Page Interactive Data File (embedded within the Inline XBRL document)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24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78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STEPAN COMPANY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Shawn G. Lisle</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Shawn G. Lisle</w:t>
            </w:r>
          </w:p>
          <w:p>
            <w:pPr>
              <w:pStyle w:val="TableContents"/>
              <w:bidi w:val="0"/>
              <w:spacing w:before="0" w:after="20"/>
              <w:jc w:val="left"/>
              <w:rPr>
                <w:rFonts w:ascii="Times New Roman" w:hAnsi="Times New Roman"/>
                <w:sz w:val="20"/>
              </w:rPr>
            </w:pPr>
            <w:r>
              <w:rPr>
                <w:rFonts w:ascii="Times New Roman" w:hAnsi="Times New Roman"/>
                <w:sz w:val="20"/>
              </w:rPr>
              <w:t>Vice President, General Counsel and Secretary</w:t>
            </w:r>
          </w:p>
        </w:tc>
      </w:tr>
    </w:tbl>
    <w:p>
      <w:pPr>
        <w:pStyle w:val="TextBody"/>
        <w:bidi w:val="0"/>
        <w:spacing w:before="0" w:after="0"/>
        <w:jc w:val="right"/>
        <w:rPr>
          <w:rFonts w:ascii="Times New Roman" w:hAnsi="Times New Roman"/>
          <w:sz w:val="20"/>
        </w:rPr>
      </w:pPr>
      <w:bookmarkStart w:id="2" w:name="d139905dex991.htm"/>
      <w:bookmarkStart w:id="3" w:name="ksd139905dex991"/>
      <w:bookmarkEnd w:id="2"/>
      <w:bookmarkEnd w:id="3"/>
      <w:r>
        <w:rPr>
          <w:rFonts w:ascii="Times New Roman" w:hAnsi="Times New Roman"/>
          <w:sz w:val="20"/>
        </w:rPr>
        <w:t xml:space="preserve">Exhibit 99.1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Stepan Reports Second Quarter 2026 Results </w:t>
      </w:r>
    </w:p>
    <w:p>
      <w:pPr>
        <w:pStyle w:val="TextBody"/>
        <w:bidi w:val="0"/>
        <w:spacing w:before="240" w:after="0"/>
        <w:jc w:val="left"/>
        <w:rPr>
          <w:rFonts w:ascii="Times New Roman" w:hAnsi="Times New Roman"/>
          <w:sz w:val="20"/>
        </w:rPr>
      </w:pPr>
      <w:r>
        <w:rPr>
          <w:rFonts w:ascii="Times New Roman" w:hAnsi="Times New Roman"/>
          <w:sz w:val="20"/>
        </w:rPr>
        <w:t xml:space="preserve">Northbrook, Illinois, July 29, 2026 — Stepan Company (NYSE: SCL) today reported: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Second Quarter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net income was $22.9 million, up 102% versus the prior year. Adjusted net income(1) was $27.1 million, up 126% versus the prior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EBITDA(2) was $69.1 million and Adjusted EBITDA(2) was $74.4 million, up 37% and 45% respectively,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sales volume was up 3% year-over-year. Organic sales volume was up 6%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from Operations was $8.4 million during the quarter. Free cash flow(3) for the quarter was a negative $15.0 million, driven by higher working capital requirements. Excluding the impact of higher working capital, free cash flow was $32.7 million, up 69% versus the prior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Pre-tax earnings include a $5.1 million restructuring charge largely related to the previously announced closure of the Company’s Fieldsboro, NJ site and decommissioning of select assets at its Elwood (Millsdale), IL and Stalybridge, UK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announced today a plan to reduce its global salaried workforce by approximately 100 positions. This action is part of the previously announced Project Catalyst efficiency initiative. The majority of this restructuring expense is expected to be recognized during the second half of 2026. The Company anticipates full year restructuring charges in the range of $75.0 to $80.0 million, which is in line with prior communications, with a projected cash impact between $14.0 and $18.0 million.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First Half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net income was a $18.5 million loss versus $31.1 million of income in the prior year. The current year loss is entirely due to a $70.5 million pre-tax restructuring charge. The cash impact associated with this restructuring charge was approximately $7.0 million year-to-date. Adjusted net income(1) was $37.4 million, up 20% versus the prior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EBITDA(2) was $52.7 million and Adjusted EBITDA(2) was $124.1 million. Adjusted EBITDA was up 14%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Organic sales volume was up 3% year-over-year.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 xml:space="preserve">Quarterly earnings were up significantly driven by improved Surfactant and Polymer results. Second quarter adjusted EBITDA of $74.4 million was up 45% year-over-year due to global volume growth, margin recovery and Project Catalyst savings. We believe the quarter also benefited from customer pre-buys as a result of the global geopolitical situation. Surfactant and Polymer adjusted EBITDA were up 59% and 22%, respectively,” said Luis E. Rojo, President and Chief Executive Officer. “Surfactant organic sales volume was up 7% and Polymer sales volume was up 5% in the quarter. The Surfactant volume growth was broad-based and across all end markets and all regions. Within Polymers, the North American Rigid and Phthalic Anhydride businesses delivered double digit volume growth. We are pleased with the growth we achieved in several of our key strategic end markets despite ongoing global economic uncertainties and supply chain disruptions. We continue to execute Project Catalyst safely and in line with expectations. As part of the organizational-effectiveness component of Project Catalyst, today we announced a plan to reduce the Company’s global salaried workforce by around 100 roles before the end of the year. During the past few quarters, we took a disciplined and deliberate approach to minimize the impact of these actions through normal attrition, pausing external hiring and emphasizing internal talent. We are committed to supporting our affected colleagues through this transition in line with our People First culture.”    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Financial Summary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9"/>
        <w:gridCol w:w="166"/>
        <w:gridCol w:w="140"/>
        <w:gridCol w:w="802"/>
        <w:gridCol w:w="60"/>
        <w:gridCol w:w="166"/>
        <w:gridCol w:w="140"/>
        <w:gridCol w:w="802"/>
        <w:gridCol w:w="60"/>
        <w:gridCol w:w="166"/>
        <w:gridCol w:w="111"/>
        <w:gridCol w:w="717"/>
        <w:gridCol w:w="275"/>
        <w:gridCol w:w="112"/>
        <w:gridCol w:w="140"/>
        <w:gridCol w:w="993"/>
        <w:gridCol w:w="155"/>
        <w:gridCol w:w="112"/>
        <w:gridCol w:w="140"/>
        <w:gridCol w:w="993"/>
        <w:gridCol w:w="60"/>
        <w:gridCol w:w="166"/>
        <w:gridCol w:w="103"/>
        <w:gridCol w:w="723"/>
        <w:gridCol w:w="284"/>
      </w:tblGrid>
      <w:tr>
        <w:trPr/>
        <w:tc>
          <w:tcPr>
            <w:tcW w:w="2619"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61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1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35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284" w:type="dxa"/>
            <w:tcBorders/>
            <w:vAlign w:val="bottom"/>
          </w:tcPr>
          <w:p>
            <w:pPr>
              <w:pStyle w:val="TableContents"/>
              <w:bidi w:val="0"/>
              <w:spacing w:before="0" w:after="283"/>
              <w:jc w:val="left"/>
              <w:rPr/>
            </w:pPr>
            <w:r>
              <w:rPr/>
              <w:t> </w:t>
            </w:r>
          </w:p>
        </w:tc>
      </w:tr>
      <w:tr>
        <w:trPr/>
        <w:tc>
          <w:tcPr>
            <w:tcW w:w="2619" w:type="dxa"/>
            <w:tcBorders/>
            <w:vAlign w:val="bottom"/>
          </w:tcPr>
          <w:p>
            <w:pPr>
              <w:pStyle w:val="TableContents"/>
              <w:bidi w:val="0"/>
              <w:spacing w:before="0" w:after="283"/>
              <w:jc w:val="left"/>
              <w:rPr>
                <w:i/>
              </w:rPr>
            </w:pPr>
            <w:r>
              <w:rPr>
                <w:i/>
              </w:rPr>
              <w:t>($ in thousands, except per share data)</w:t>
            </w:r>
          </w:p>
        </w:tc>
        <w:tc>
          <w:tcPr>
            <w:tcW w:w="166"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284"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684,109</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594,689</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1,288,618</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1,187,944</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8</w:t>
            </w:r>
          </w:p>
        </w:tc>
        <w:tc>
          <w:tcPr>
            <w:tcW w:w="284" w:type="dxa"/>
            <w:tcBorders/>
            <w:shd w:fill="CCEEFF" w:val="clear"/>
            <w:vAlign w:val="bottom"/>
          </w:tcPr>
          <w:p>
            <w:pPr>
              <w:pStyle w:val="TableContents"/>
              <w:bidi w:val="0"/>
              <w:spacing w:before="0" w:after="283"/>
              <w:jc w:val="left"/>
              <w:rPr/>
            </w:pPr>
            <w:r>
              <w:rPr/>
              <w:t>% </w:t>
            </w:r>
          </w:p>
        </w:tc>
      </w:tr>
      <w:tr>
        <w:trPr/>
        <w:tc>
          <w:tcPr>
            <w:tcW w:w="26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37,210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17,965</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107</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(12,412</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46,253</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22,911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11,341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(18,495</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31,052</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NM</w:t>
            </w:r>
          </w:p>
        </w:tc>
        <w:tc>
          <w:tcPr>
            <w:tcW w:w="284" w:type="dxa"/>
            <w:tcBorders/>
            <w:shd w:fill="CCEEFF" w:val="clear"/>
            <w:vAlign w:val="bottom"/>
          </w:tcPr>
          <w:p>
            <w:pPr>
              <w:pStyle w:val="TableContents"/>
              <w:bidi w:val="0"/>
              <w:spacing w:before="0" w:after="283"/>
              <w:jc w:val="left"/>
              <w:rPr/>
            </w:pPr>
            <w:r>
              <w:rPr/>
              <w:t> </w:t>
            </w:r>
          </w:p>
        </w:tc>
      </w:tr>
      <w:tr>
        <w:trPr/>
        <w:tc>
          <w:tcPr>
            <w:tcW w:w="2619"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Diluted Share</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0.50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(0.81</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27,052</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11,952</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126</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37,365</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31,262</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20</w:t>
            </w:r>
          </w:p>
        </w:tc>
        <w:tc>
          <w:tcPr>
            <w:tcW w:w="284" w:type="dxa"/>
            <w:tcBorders/>
            <w:shd w:fill="CCEEFF" w:val="clear"/>
            <w:vAlign w:val="bottom"/>
          </w:tcPr>
          <w:p>
            <w:pPr>
              <w:pStyle w:val="TableContents"/>
              <w:bidi w:val="0"/>
              <w:spacing w:before="0" w:after="283"/>
              <w:jc w:val="left"/>
              <w:rPr/>
            </w:pPr>
            <w:r>
              <w:rPr/>
              <w:t>% </w:t>
            </w:r>
          </w:p>
        </w:tc>
      </w:tr>
      <w:tr>
        <w:trPr/>
        <w:tc>
          <w:tcPr>
            <w:tcW w:w="2619" w:type="dxa"/>
            <w:tcBorders/>
          </w:tcPr>
          <w:p>
            <w:pPr>
              <w:pStyle w:val="TableContents"/>
              <w:bidi w:val="0"/>
              <w:spacing w:before="0" w:after="0"/>
              <w:jc w:val="left"/>
              <w:rPr>
                <w:rFonts w:ascii="Times New Roman" w:hAnsi="Times New Roman"/>
                <w:sz w:val="20"/>
              </w:rPr>
            </w:pPr>
            <w:r>
              <w:rPr>
                <w:rFonts w:ascii="Times New Roman" w:hAnsi="Times New Roman"/>
                <w:sz w:val="20"/>
              </w:rPr>
              <w:t>Adjusted Earnings per Diluted Share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0.52</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127</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1.63</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1.37</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19</w:t>
            </w:r>
          </w:p>
        </w:tc>
        <w:tc>
          <w:tcPr>
            <w:tcW w:w="28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See Table II for reconciliations of non-GAAP adjusted net income and adjusted earnings per diluted share.</w:t>
            </w:r>
            <w:r>
              <w:rPr>
                <w:rFonts w:ascii="Times New Roman" w:hAnsi="Times New Roman"/>
                <w:sz w:val="20"/>
              </w:rPr>
              <w:t xml:space="preserve">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Percentage Change in Net Sales </w:t>
      </w:r>
    </w:p>
    <w:p>
      <w:pPr>
        <w:pStyle w:val="TextBody"/>
        <w:bidi w:val="0"/>
        <w:spacing w:before="120" w:after="0"/>
        <w:jc w:val="left"/>
        <w:rPr>
          <w:rFonts w:ascii="Times New Roman" w:hAnsi="Times New Roman"/>
          <w:sz w:val="20"/>
        </w:rPr>
      </w:pPr>
      <w:r>
        <w:rPr>
          <w:rFonts w:ascii="Times New Roman" w:hAnsi="Times New Roman"/>
          <w:sz w:val="20"/>
        </w:rPr>
        <w:t xml:space="preserve">Net sales in the second quarter of 2026 increased 15% year-over-year. This increase reflects higher selling prices, mainly attributable to the pass-through of higher raw material costs and more favorable product mix, a 3% increase in sales volume and the favorable impact of foreign currency translation. Organic sales volume was up 6% year-over-year.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936"/>
        <w:gridCol w:w="552"/>
        <w:gridCol w:w="414"/>
        <w:gridCol w:w="1796"/>
        <w:gridCol w:w="275"/>
        <w:gridCol w:w="521"/>
        <w:gridCol w:w="290"/>
        <w:gridCol w:w="1620"/>
        <w:gridCol w:w="351"/>
      </w:tblGrid>
      <w:tr>
        <w:trPr/>
        <w:tc>
          <w:tcPr>
            <w:tcW w:w="1936"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2026</w:t>
            </w:r>
          </w:p>
        </w:tc>
        <w:tc>
          <w:tcPr>
            <w:tcW w:w="27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351" w:type="dxa"/>
            <w:tcBorders/>
            <w:vAlign w:val="bottom"/>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552"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96"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w:t>
            </w:r>
          </w:p>
        </w:tc>
        <w:tc>
          <w:tcPr>
            <w:tcW w:w="351" w:type="dxa"/>
            <w:tcBorders/>
            <w:shd w:fill="CCEEFF" w:val="clear"/>
            <w:vAlign w:val="bottom"/>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Selling Price &amp; Mix</w:t>
            </w:r>
          </w:p>
        </w:tc>
        <w:tc>
          <w:tcPr>
            <w:tcW w:w="552"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96"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5</w:t>
            </w:r>
          </w:p>
        </w:tc>
        <w:tc>
          <w:tcPr>
            <w:tcW w:w="351" w:type="dxa"/>
            <w:tcBorders/>
            <w:vAlign w:val="bottom"/>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Translation</w:t>
            </w:r>
          </w:p>
        </w:tc>
        <w:tc>
          <w:tcPr>
            <w:tcW w:w="552"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796"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3</w:t>
            </w:r>
          </w:p>
        </w:tc>
        <w:tc>
          <w:tcPr>
            <w:tcW w:w="351" w:type="dxa"/>
            <w:tcBorders/>
            <w:shd w:fill="CCEEFF" w:val="clear"/>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179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620"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52"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96"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8</w:t>
            </w:r>
          </w:p>
        </w:tc>
        <w:tc>
          <w:tcPr>
            <w:tcW w:w="351" w:type="dxa"/>
            <w:tcBorders/>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pPr>
            <w:r>
              <w:rPr/>
              <w:t>  </w:t>
            </w:r>
          </w:p>
        </w:tc>
        <w:tc>
          <w:tcPr>
            <w:tcW w:w="414" w:type="dxa"/>
            <w:tcBorders/>
            <w:vAlign w:val="bottom"/>
          </w:tcPr>
          <w:p>
            <w:pPr>
              <w:pStyle w:val="TableContents"/>
              <w:pBdr>
                <w:top w:val="double" w:sz="6" w:space="1" w:color="000000"/>
              </w:pBdr>
              <w:bidi w:val="0"/>
              <w:spacing w:before="0" w:after="0"/>
              <w:jc w:val="left"/>
              <w:rPr/>
            </w:pPr>
            <w:r>
              <w:rPr/>
              <w:t> </w:t>
            </w:r>
          </w:p>
        </w:tc>
        <w:tc>
          <w:tcPr>
            <w:tcW w:w="179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620"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Segment Results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6"/>
        <w:gridCol w:w="165"/>
        <w:gridCol w:w="140"/>
        <w:gridCol w:w="847"/>
        <w:gridCol w:w="60"/>
        <w:gridCol w:w="165"/>
        <w:gridCol w:w="140"/>
        <w:gridCol w:w="847"/>
        <w:gridCol w:w="60"/>
        <w:gridCol w:w="165"/>
        <w:gridCol w:w="152"/>
        <w:gridCol w:w="694"/>
        <w:gridCol w:w="281"/>
        <w:gridCol w:w="109"/>
        <w:gridCol w:w="140"/>
        <w:gridCol w:w="1041"/>
        <w:gridCol w:w="59"/>
        <w:gridCol w:w="165"/>
        <w:gridCol w:w="140"/>
        <w:gridCol w:w="1041"/>
        <w:gridCol w:w="60"/>
        <w:gridCol w:w="165"/>
        <w:gridCol w:w="152"/>
        <w:gridCol w:w="694"/>
        <w:gridCol w:w="357"/>
      </w:tblGrid>
      <w:tr>
        <w:trPr/>
        <w:tc>
          <w:tcPr>
            <w:tcW w:w="2366"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36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2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28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65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357" w:type="dxa"/>
            <w:tcBorders/>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283"/>
              <w:jc w:val="left"/>
              <w:rPr>
                <w:i/>
              </w:rPr>
            </w:pPr>
            <w:r>
              <w:rPr>
                <w:i/>
              </w:rPr>
              <w:t>($ in thousands)</w:t>
            </w:r>
          </w:p>
        </w:tc>
        <w:tc>
          <w:tcPr>
            <w:tcW w:w="165"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28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7" w:type="dxa"/>
            <w:tcBorders/>
            <w:vAlign w:val="bottom"/>
          </w:tcPr>
          <w:p>
            <w:pPr>
              <w:pStyle w:val="TableContents"/>
              <w:bidi w:val="0"/>
              <w:spacing w:before="0" w:after="283"/>
              <w:jc w:val="left"/>
              <w:rPr/>
            </w:pPr>
            <w:r>
              <w:rPr/>
              <w:t> </w:t>
            </w:r>
          </w:p>
        </w:tc>
      </w:tr>
      <w:tr>
        <w:trPr/>
        <w:tc>
          <w:tcPr>
            <w:tcW w:w="23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Sales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Surfactants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483,902</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411,456</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18</w:t>
            </w:r>
          </w:p>
        </w:tc>
        <w:tc>
          <w:tcPr>
            <w:tcW w:w="28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937,589</w:t>
            </w:r>
          </w:p>
        </w:tc>
        <w:tc>
          <w:tcPr>
            <w:tcW w:w="5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841,793</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w:t>
            </w:r>
          </w:p>
        </w:tc>
        <w:tc>
          <w:tcPr>
            <w:tcW w:w="357"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Polymers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178,007</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162,751</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9</w:t>
            </w:r>
          </w:p>
        </w:tc>
        <w:tc>
          <w:tcPr>
            <w:tcW w:w="28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308,036</w:t>
            </w:r>
          </w:p>
        </w:tc>
        <w:tc>
          <w:tcPr>
            <w:tcW w:w="5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308,867</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(0</w:t>
            </w:r>
          </w:p>
        </w:tc>
        <w:tc>
          <w:tcPr>
            <w:tcW w:w="357"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Specialty Products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22,200</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20,482</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8</w:t>
            </w:r>
          </w:p>
        </w:tc>
        <w:tc>
          <w:tcPr>
            <w:tcW w:w="28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42,993</w:t>
            </w:r>
          </w:p>
        </w:tc>
        <w:tc>
          <w:tcPr>
            <w:tcW w:w="5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37,284</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15</w:t>
            </w:r>
          </w:p>
        </w:tc>
        <w:tc>
          <w:tcPr>
            <w:tcW w:w="357" w:type="dxa"/>
            <w:tcBorders/>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684,109</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594,689</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15</w:t>
            </w:r>
          </w:p>
        </w:tc>
        <w:tc>
          <w:tcPr>
            <w:tcW w:w="28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1,288,618</w:t>
            </w:r>
          </w:p>
        </w:tc>
        <w:tc>
          <w:tcPr>
            <w:tcW w:w="5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1,187,944</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8</w:t>
            </w:r>
          </w:p>
        </w:tc>
        <w:tc>
          <w:tcPr>
            <w:tcW w:w="357" w:type="dxa"/>
            <w:tcBorders/>
            <w:shd w:fill="CCEEFF" w:val="clear"/>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3"/>
        <w:gridCol w:w="166"/>
        <w:gridCol w:w="140"/>
        <w:gridCol w:w="779"/>
        <w:gridCol w:w="155"/>
        <w:gridCol w:w="111"/>
        <w:gridCol w:w="140"/>
        <w:gridCol w:w="779"/>
        <w:gridCol w:w="155"/>
        <w:gridCol w:w="111"/>
        <w:gridCol w:w="111"/>
        <w:gridCol w:w="732"/>
        <w:gridCol w:w="350"/>
        <w:gridCol w:w="110"/>
        <w:gridCol w:w="140"/>
        <w:gridCol w:w="890"/>
        <w:gridCol w:w="155"/>
        <w:gridCol w:w="111"/>
        <w:gridCol w:w="140"/>
        <w:gridCol w:w="779"/>
        <w:gridCol w:w="155"/>
        <w:gridCol w:w="111"/>
        <w:gridCol w:w="104"/>
        <w:gridCol w:w="739"/>
        <w:gridCol w:w="359"/>
      </w:tblGrid>
      <w:tr>
        <w:trPr/>
        <w:tc>
          <w:tcPr>
            <w:tcW w:w="2683"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68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21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35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32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359" w:type="dxa"/>
            <w:tcBorders/>
            <w:vAlign w:val="bottom"/>
          </w:tcPr>
          <w:p>
            <w:pPr>
              <w:pStyle w:val="TableContents"/>
              <w:bidi w:val="0"/>
              <w:spacing w:before="0" w:after="283"/>
              <w:jc w:val="left"/>
              <w:rPr/>
            </w:pPr>
            <w:r>
              <w:rPr/>
              <w:t> </w:t>
            </w:r>
          </w:p>
        </w:tc>
      </w:tr>
      <w:tr>
        <w:trPr/>
        <w:tc>
          <w:tcPr>
            <w:tcW w:w="2683" w:type="dxa"/>
            <w:tcBorders/>
            <w:vAlign w:val="bottom"/>
          </w:tcPr>
          <w:p>
            <w:pPr>
              <w:pStyle w:val="TableContents"/>
              <w:bidi w:val="0"/>
              <w:spacing w:before="0" w:after="283"/>
              <w:jc w:val="left"/>
              <w:rPr>
                <w:i/>
              </w:rPr>
            </w:pPr>
            <w:r>
              <w:rPr>
                <w:i/>
              </w:rPr>
              <w:t>($ in thousands, all amounts pre-tax)</w:t>
            </w:r>
          </w:p>
        </w:tc>
        <w:tc>
          <w:tcPr>
            <w:tcW w:w="166"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9" w:type="dxa"/>
            <w:tcBorders/>
            <w:vAlign w:val="bottom"/>
          </w:tcPr>
          <w:p>
            <w:pPr>
              <w:pStyle w:val="TableContents"/>
              <w:bidi w:val="0"/>
              <w:spacing w:before="0" w:after="283"/>
              <w:jc w:val="left"/>
              <w:rPr/>
            </w:pPr>
            <w:r>
              <w:rPr/>
              <w:t> </w:t>
            </w:r>
          </w:p>
        </w:tc>
      </w:tr>
      <w:tr>
        <w:trPr/>
        <w:tc>
          <w:tcPr>
            <w:tcW w:w="26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3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73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r>
      <w:tr>
        <w:trPr/>
        <w:tc>
          <w:tcPr>
            <w:tcW w:w="2683" w:type="dxa"/>
            <w:tcBorders/>
          </w:tcPr>
          <w:p>
            <w:pPr>
              <w:pStyle w:val="TableContents"/>
              <w:bidi w:val="0"/>
              <w:spacing w:before="0" w:after="0"/>
              <w:jc w:val="left"/>
              <w:rPr>
                <w:rFonts w:ascii="Times New Roman" w:hAnsi="Times New Roman"/>
                <w:sz w:val="20"/>
              </w:rPr>
            </w:pPr>
            <w:r>
              <w:rPr>
                <w:rFonts w:ascii="Times New Roman" w:hAnsi="Times New Roman"/>
                <w:sz w:val="20"/>
              </w:rPr>
              <w:t>Surfactants</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34,362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13,367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157</w:t>
            </w:r>
          </w:p>
        </w:tc>
        <w:tc>
          <w:tcPr>
            <w:tcW w:w="35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52,910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42,297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25</w:t>
            </w:r>
          </w:p>
        </w:tc>
        <w:tc>
          <w:tcPr>
            <w:tcW w:w="359" w:type="dxa"/>
            <w:tcBorders/>
            <w:vAlign w:val="bottom"/>
          </w:tcPr>
          <w:p>
            <w:pPr>
              <w:pStyle w:val="TableContents"/>
              <w:bidi w:val="0"/>
              <w:spacing w:before="0" w:after="283"/>
              <w:jc w:val="left"/>
              <w:rPr/>
            </w:pPr>
            <w:r>
              <w:rPr/>
              <w:t>% </w:t>
            </w:r>
          </w:p>
        </w:tc>
      </w:tr>
      <w:tr>
        <w:trPr/>
        <w:tc>
          <w:tcPr>
            <w:tcW w:w="2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Polymers</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22,469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17,159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31</w:t>
            </w:r>
          </w:p>
        </w:tc>
        <w:tc>
          <w:tcPr>
            <w:tcW w:w="35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31,291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25,177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24</w:t>
            </w:r>
          </w:p>
        </w:tc>
        <w:tc>
          <w:tcPr>
            <w:tcW w:w="359" w:type="dxa"/>
            <w:tcBorders/>
            <w:shd w:fill="CCEEFF" w:val="clear"/>
            <w:vAlign w:val="bottom"/>
          </w:tcPr>
          <w:p>
            <w:pPr>
              <w:pStyle w:val="TableContents"/>
              <w:bidi w:val="0"/>
              <w:spacing w:before="0" w:after="283"/>
              <w:jc w:val="left"/>
              <w:rPr/>
            </w:pPr>
            <w:r>
              <w:rPr/>
              <w:t>% </w:t>
            </w:r>
          </w:p>
        </w:tc>
      </w:tr>
      <w:tr>
        <w:trPr/>
        <w:tc>
          <w:tcPr>
            <w:tcW w:w="2683" w:type="dxa"/>
            <w:tcBorders/>
          </w:tcPr>
          <w:p>
            <w:pPr>
              <w:pStyle w:val="TableContents"/>
              <w:bidi w:val="0"/>
              <w:spacing w:before="0" w:after="0"/>
              <w:jc w:val="left"/>
              <w:rPr>
                <w:rFonts w:ascii="Times New Roman" w:hAnsi="Times New Roman"/>
                <w:sz w:val="20"/>
              </w:rPr>
            </w:pPr>
            <w:r>
              <w:rPr>
                <w:rFonts w:ascii="Times New Roman" w:hAnsi="Times New Roman"/>
                <w:sz w:val="20"/>
              </w:rPr>
              <w:t>Specialty Products</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5,007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5,258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9,722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10,766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(10</w:t>
            </w:r>
          </w:p>
        </w:tc>
        <w:tc>
          <w:tcPr>
            <w:tcW w:w="359" w:type="dxa"/>
            <w:tcBorders/>
            <w:vAlign w:val="bottom"/>
          </w:tcPr>
          <w:p>
            <w:pPr>
              <w:pStyle w:val="TableContents"/>
              <w:bidi w:val="0"/>
              <w:spacing w:before="0" w:after="283"/>
              <w:jc w:val="left"/>
              <w:rPr/>
            </w:pPr>
            <w:r>
              <w:rPr/>
              <w:t>)% </w:t>
            </w:r>
          </w:p>
        </w:tc>
      </w:tr>
      <w:tr>
        <w:trPr/>
        <w:tc>
          <w:tcPr>
            <w:tcW w:w="2683"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2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Operating Income</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61,838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35,784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73</w:t>
            </w:r>
          </w:p>
        </w:tc>
        <w:tc>
          <w:tcPr>
            <w:tcW w:w="35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93,923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78,240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20</w:t>
            </w:r>
          </w:p>
        </w:tc>
        <w:tc>
          <w:tcPr>
            <w:tcW w:w="359" w:type="dxa"/>
            <w:tcBorders/>
            <w:shd w:fill="CCEEFF" w:val="clear"/>
            <w:vAlign w:val="bottom"/>
          </w:tcPr>
          <w:p>
            <w:pPr>
              <w:pStyle w:val="TableContents"/>
              <w:bidi w:val="0"/>
              <w:spacing w:before="0" w:after="283"/>
              <w:jc w:val="left"/>
              <w:rPr/>
            </w:pPr>
            <w:r>
              <w:rPr/>
              <w:t>% </w:t>
            </w:r>
          </w:p>
        </w:tc>
      </w:tr>
      <w:tr>
        <w:trPr/>
        <w:tc>
          <w:tcPr>
            <w:tcW w:w="2683"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Expenses</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(24,628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(17,819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38</w:t>
            </w:r>
          </w:p>
        </w:tc>
        <w:tc>
          <w:tcPr>
            <w:tcW w:w="35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(106,335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(31,987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232</w:t>
            </w:r>
          </w:p>
        </w:tc>
        <w:tc>
          <w:tcPr>
            <w:tcW w:w="359" w:type="dxa"/>
            <w:tcBorders/>
            <w:vAlign w:val="bottom"/>
          </w:tcPr>
          <w:p>
            <w:pPr>
              <w:pStyle w:val="TableContents"/>
              <w:bidi w:val="0"/>
              <w:spacing w:before="0" w:after="283"/>
              <w:jc w:val="left"/>
              <w:rPr/>
            </w:pPr>
            <w:r>
              <w:rPr/>
              <w:t>% </w:t>
            </w:r>
          </w:p>
        </w:tc>
      </w:tr>
      <w:tr>
        <w:trPr/>
        <w:tc>
          <w:tcPr>
            <w:tcW w:w="2683"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2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Operating Income (Loss)</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37,210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17,965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107</w:t>
            </w:r>
          </w:p>
        </w:tc>
        <w:tc>
          <w:tcPr>
            <w:tcW w:w="35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(12,412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46,253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NM</w:t>
            </w:r>
          </w:p>
        </w:tc>
        <w:tc>
          <w:tcPr>
            <w:tcW w:w="359" w:type="dxa"/>
            <w:tcBorders/>
            <w:shd w:fill="CCEEFF" w:val="clear"/>
            <w:vAlign w:val="bottom"/>
          </w:tcPr>
          <w:p>
            <w:pPr>
              <w:pStyle w:val="TableContents"/>
              <w:bidi w:val="0"/>
              <w:spacing w:before="0" w:after="283"/>
              <w:jc w:val="left"/>
              <w:rPr/>
            </w:pPr>
            <w:r>
              <w:rPr/>
              <w:t> </w:t>
            </w:r>
          </w:p>
        </w:tc>
      </w:tr>
      <w:tr>
        <w:trPr/>
        <w:tc>
          <w:tcPr>
            <w:tcW w:w="2683"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double" w:sz="6" w:space="1" w:color="000000"/>
              </w:pBdr>
              <w:bidi w:val="0"/>
              <w:spacing w:before="0" w:after="0"/>
              <w:jc w:val="left"/>
              <w:rPr/>
            </w:pPr>
            <w:r>
              <w:rPr/>
              <w:t> </w:t>
            </w:r>
          </w:p>
        </w:tc>
        <w:tc>
          <w:tcPr>
            <w:tcW w:w="732"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1"/>
        <w:gridCol w:w="187"/>
        <w:gridCol w:w="140"/>
        <w:gridCol w:w="520"/>
        <w:gridCol w:w="155"/>
        <w:gridCol w:w="130"/>
        <w:gridCol w:w="140"/>
        <w:gridCol w:w="520"/>
        <w:gridCol w:w="155"/>
        <w:gridCol w:w="130"/>
        <w:gridCol w:w="152"/>
        <w:gridCol w:w="696"/>
        <w:gridCol w:w="365"/>
        <w:gridCol w:w="129"/>
        <w:gridCol w:w="140"/>
        <w:gridCol w:w="562"/>
        <w:gridCol w:w="155"/>
        <w:gridCol w:w="130"/>
        <w:gridCol w:w="140"/>
        <w:gridCol w:w="562"/>
        <w:gridCol w:w="155"/>
        <w:gridCol w:w="130"/>
        <w:gridCol w:w="123"/>
        <w:gridCol w:w="723"/>
        <w:gridCol w:w="375"/>
      </w:tblGrid>
      <w:tr>
        <w:trPr/>
        <w:tc>
          <w:tcPr>
            <w:tcW w:w="3591"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59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73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36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2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375" w:type="dxa"/>
            <w:tcBorders/>
            <w:vAlign w:val="bottom"/>
          </w:tcPr>
          <w:p>
            <w:pPr>
              <w:pStyle w:val="TableContents"/>
              <w:bidi w:val="0"/>
              <w:spacing w:before="0" w:after="283"/>
              <w:jc w:val="left"/>
              <w:rPr/>
            </w:pPr>
            <w:r>
              <w:rPr/>
              <w:t> </w:t>
            </w:r>
          </w:p>
        </w:tc>
      </w:tr>
      <w:tr>
        <w:trPr/>
        <w:tc>
          <w:tcPr>
            <w:tcW w:w="3591" w:type="dxa"/>
            <w:tcBorders/>
            <w:vAlign w:val="bottom"/>
          </w:tcPr>
          <w:p>
            <w:pPr>
              <w:pStyle w:val="TableContents"/>
              <w:bidi w:val="0"/>
              <w:spacing w:before="0" w:after="283"/>
              <w:jc w:val="left"/>
              <w:rPr>
                <w:i/>
              </w:rPr>
            </w:pPr>
            <w:r>
              <w:rPr>
                <w:i/>
              </w:rPr>
              <w:t>($ in millions)</w:t>
            </w:r>
          </w:p>
        </w:tc>
        <w:tc>
          <w:tcPr>
            <w:tcW w:w="187" w:type="dxa"/>
            <w:tcBorders/>
            <w:vAlign w:val="bottom"/>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6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75" w:type="dxa"/>
            <w:tcBorders/>
            <w:vAlign w:val="bottom"/>
          </w:tcPr>
          <w:p>
            <w:pPr>
              <w:pStyle w:val="TableContents"/>
              <w:bidi w:val="0"/>
              <w:spacing w:before="0" w:after="283"/>
              <w:jc w:val="left"/>
              <w:rPr/>
            </w:pPr>
            <w:r>
              <w:rPr/>
              <w:t> </w:t>
            </w:r>
          </w:p>
        </w:tc>
      </w:tr>
      <w:tr>
        <w:trPr/>
        <w:tc>
          <w:tcPr>
            <w:tcW w:w="35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0" w:type="dxa"/>
            <w:tcBorders/>
            <w:shd w:fill="CCEEFF" w:val="clear"/>
            <w:vAlign w:val="bottom"/>
          </w:tcPr>
          <w:p>
            <w:pPr>
              <w:pStyle w:val="TableContents"/>
              <w:bidi w:val="0"/>
              <w:spacing w:before="0" w:after="283"/>
              <w:jc w:val="right"/>
              <w:rPr/>
            </w:pPr>
            <w:r>
              <w:rPr/>
              <w:t>69.1</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0" w:type="dxa"/>
            <w:tcBorders/>
            <w:shd w:fill="CCEEFF" w:val="clear"/>
            <w:vAlign w:val="bottom"/>
          </w:tcPr>
          <w:p>
            <w:pPr>
              <w:pStyle w:val="TableContents"/>
              <w:bidi w:val="0"/>
              <w:spacing w:before="0" w:after="283"/>
              <w:jc w:val="right"/>
              <w:rPr/>
            </w:pPr>
            <w:r>
              <w:rPr/>
              <w:t>50.6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37</w:t>
            </w:r>
          </w:p>
        </w:tc>
        <w:tc>
          <w:tcPr>
            <w:tcW w:w="36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52.7</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108.6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(51</w:t>
            </w:r>
          </w:p>
        </w:tc>
        <w:tc>
          <w:tcPr>
            <w:tcW w:w="375" w:type="dxa"/>
            <w:tcBorders/>
            <w:shd w:fill="CCEEFF" w:val="clear"/>
            <w:vAlign w:val="bottom"/>
          </w:tcPr>
          <w:p>
            <w:pPr>
              <w:pStyle w:val="TableContents"/>
              <w:bidi w:val="0"/>
              <w:spacing w:before="0" w:after="283"/>
              <w:jc w:val="left"/>
              <w:rPr/>
            </w:pPr>
            <w:r>
              <w:rPr/>
              <w:t>)% </w:t>
            </w:r>
          </w:p>
        </w:tc>
      </w:tr>
      <w:tr>
        <w:trPr/>
        <w:tc>
          <w:tcPr>
            <w:tcW w:w="3591"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r>
      <w:tr>
        <w:trPr/>
        <w:tc>
          <w:tcPr>
            <w:tcW w:w="35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Surfactants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0" w:type="dxa"/>
            <w:tcBorders/>
            <w:shd w:fill="CCEEFF" w:val="clear"/>
            <w:vAlign w:val="bottom"/>
          </w:tcPr>
          <w:p>
            <w:pPr>
              <w:pStyle w:val="TableContents"/>
              <w:bidi w:val="0"/>
              <w:spacing w:before="0" w:after="283"/>
              <w:jc w:val="right"/>
              <w:rPr/>
            </w:pPr>
            <w:r>
              <w:rPr/>
              <w:t>54.9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0" w:type="dxa"/>
            <w:tcBorders/>
            <w:shd w:fill="CCEEFF" w:val="clear"/>
            <w:vAlign w:val="bottom"/>
          </w:tcPr>
          <w:p>
            <w:pPr>
              <w:pStyle w:val="TableContents"/>
              <w:bidi w:val="0"/>
              <w:spacing w:before="0" w:after="283"/>
              <w:jc w:val="right"/>
              <w:rPr/>
            </w:pPr>
            <w:r>
              <w:rPr/>
              <w:t>34.5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59</w:t>
            </w:r>
          </w:p>
        </w:tc>
        <w:tc>
          <w:tcPr>
            <w:tcW w:w="36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96.0</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82.9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16</w:t>
            </w:r>
          </w:p>
        </w:tc>
        <w:tc>
          <w:tcPr>
            <w:tcW w:w="375" w:type="dxa"/>
            <w:tcBorders/>
            <w:shd w:fill="CCEEFF" w:val="clear"/>
            <w:vAlign w:val="bottom"/>
          </w:tcPr>
          <w:p>
            <w:pPr>
              <w:pStyle w:val="TableContents"/>
              <w:bidi w:val="0"/>
              <w:spacing w:before="0" w:after="283"/>
              <w:jc w:val="left"/>
              <w:rPr/>
            </w:pPr>
            <w:r>
              <w:rPr/>
              <w:t>% </w:t>
            </w:r>
          </w:p>
        </w:tc>
      </w:tr>
      <w:tr>
        <w:trPr/>
        <w:tc>
          <w:tcPr>
            <w:tcW w:w="3591" w:type="dxa"/>
            <w:tcBorders/>
          </w:tcPr>
          <w:p>
            <w:pPr>
              <w:pStyle w:val="TableContents"/>
              <w:bidi w:val="0"/>
              <w:spacing w:before="0" w:after="0"/>
              <w:jc w:val="left"/>
              <w:rPr>
                <w:rFonts w:ascii="Times New Roman" w:hAnsi="Times New Roman"/>
                <w:sz w:val="20"/>
              </w:rPr>
            </w:pPr>
            <w:r>
              <w:rPr>
                <w:rFonts w:ascii="Times New Roman" w:hAnsi="Times New Roman"/>
                <w:sz w:val="20"/>
              </w:rPr>
              <w:t>Polymers</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20" w:type="dxa"/>
            <w:tcBorders/>
            <w:vAlign w:val="bottom"/>
          </w:tcPr>
          <w:p>
            <w:pPr>
              <w:pStyle w:val="TableContents"/>
              <w:bidi w:val="0"/>
              <w:spacing w:before="0" w:after="283"/>
              <w:jc w:val="right"/>
              <w:rPr/>
            </w:pPr>
            <w:r>
              <w:rPr/>
              <w:t>31.2</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20"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22</w:t>
            </w:r>
          </w:p>
        </w:tc>
        <w:tc>
          <w:tcPr>
            <w:tcW w:w="36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41.6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17</w:t>
            </w:r>
          </w:p>
        </w:tc>
        <w:tc>
          <w:tcPr>
            <w:tcW w:w="375" w:type="dxa"/>
            <w:tcBorders/>
            <w:vAlign w:val="bottom"/>
          </w:tcPr>
          <w:p>
            <w:pPr>
              <w:pStyle w:val="TableContents"/>
              <w:bidi w:val="0"/>
              <w:spacing w:before="0" w:after="283"/>
              <w:jc w:val="left"/>
              <w:rPr/>
            </w:pPr>
            <w:r>
              <w:rPr/>
              <w:t>% </w:t>
            </w:r>
          </w:p>
        </w:tc>
      </w:tr>
      <w:tr>
        <w:trPr/>
        <w:tc>
          <w:tcPr>
            <w:tcW w:w="35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Products</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0" w:type="dxa"/>
            <w:tcBorders/>
            <w:shd w:fill="CCEEFF" w:val="clear"/>
            <w:vAlign w:val="bottom"/>
          </w:tcPr>
          <w:p>
            <w:pPr>
              <w:pStyle w:val="TableContents"/>
              <w:bidi w:val="0"/>
              <w:spacing w:before="0" w:after="283"/>
              <w:jc w:val="right"/>
              <w:rPr/>
            </w:pPr>
            <w:r>
              <w:rPr/>
              <w:t>6.5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0"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w:t>
            </w:r>
          </w:p>
        </w:tc>
        <w:tc>
          <w:tcPr>
            <w:tcW w:w="36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(8</w:t>
            </w:r>
          </w:p>
        </w:tc>
        <w:tc>
          <w:tcPr>
            <w:tcW w:w="375" w:type="dxa"/>
            <w:tcBorders/>
            <w:shd w:fill="CCEEFF" w:val="clear"/>
            <w:vAlign w:val="bottom"/>
          </w:tcPr>
          <w:p>
            <w:pPr>
              <w:pStyle w:val="TableContents"/>
              <w:bidi w:val="0"/>
              <w:spacing w:before="0" w:after="283"/>
              <w:jc w:val="left"/>
              <w:rPr/>
            </w:pPr>
            <w:r>
              <w:rPr/>
              <w:t>)% </w:t>
            </w:r>
          </w:p>
        </w:tc>
      </w:tr>
      <w:tr>
        <w:trPr/>
        <w:tc>
          <w:tcPr>
            <w:tcW w:w="3591" w:type="dxa"/>
            <w:tcBorders/>
          </w:tcPr>
          <w:p>
            <w:pPr>
              <w:pStyle w:val="TableContents"/>
              <w:bidi w:val="0"/>
              <w:spacing w:before="0" w:after="0"/>
              <w:jc w:val="left"/>
              <w:rPr>
                <w:rFonts w:ascii="Times New Roman" w:hAnsi="Times New Roman"/>
                <w:sz w:val="20"/>
              </w:rPr>
            </w:pPr>
            <w:r>
              <w:rPr>
                <w:rFonts w:ascii="Times New Roman" w:hAnsi="Times New Roman"/>
                <w:sz w:val="20"/>
              </w:rPr>
              <w:t>Unallocated Corporate</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20"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20" w:type="dxa"/>
            <w:tcBorders/>
            <w:vAlign w:val="bottom"/>
          </w:tcPr>
          <w:p>
            <w:pPr>
              <w:pStyle w:val="TableContents"/>
              <w:bidi w:val="0"/>
              <w:spacing w:before="0" w:after="283"/>
              <w:jc w:val="right"/>
              <w:rPr/>
            </w:pPr>
            <w:r>
              <w:rPr/>
              <w:t>(15.4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18</w:t>
            </w:r>
          </w:p>
        </w:tc>
        <w:tc>
          <w:tcPr>
            <w:tcW w:w="36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(29.3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13</w:t>
            </w:r>
          </w:p>
        </w:tc>
        <w:tc>
          <w:tcPr>
            <w:tcW w:w="375" w:type="dxa"/>
            <w:tcBorders/>
            <w:vAlign w:val="bottom"/>
          </w:tcPr>
          <w:p>
            <w:pPr>
              <w:pStyle w:val="TableContents"/>
              <w:bidi w:val="0"/>
              <w:spacing w:before="0" w:after="283"/>
              <w:jc w:val="left"/>
              <w:rPr/>
            </w:pPr>
            <w:r>
              <w:rPr/>
              <w:t>% </w:t>
            </w:r>
          </w:p>
        </w:tc>
      </w:tr>
      <w:tr>
        <w:trPr/>
        <w:tc>
          <w:tcPr>
            <w:tcW w:w="3591"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375" w:type="dxa"/>
            <w:tcBorders/>
            <w:vAlign w:val="center"/>
          </w:tcPr>
          <w:p>
            <w:pPr>
              <w:pStyle w:val="TableContents"/>
              <w:bidi w:val="0"/>
              <w:spacing w:before="0" w:after="283"/>
              <w:jc w:val="left"/>
              <w:rPr/>
            </w:pPr>
            <w:r>
              <w:rPr/>
              <w:t> </w:t>
            </w:r>
          </w:p>
        </w:tc>
      </w:tr>
      <w:tr>
        <w:trPr/>
        <w:tc>
          <w:tcPr>
            <w:tcW w:w="35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Adjusted EBITDA</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0" w:type="dxa"/>
            <w:tcBorders/>
            <w:shd w:fill="CCEEFF" w:val="clear"/>
            <w:vAlign w:val="bottom"/>
          </w:tcPr>
          <w:p>
            <w:pPr>
              <w:pStyle w:val="TableContents"/>
              <w:bidi w:val="0"/>
              <w:spacing w:before="0" w:after="283"/>
              <w:jc w:val="right"/>
              <w:rPr/>
            </w:pPr>
            <w:r>
              <w:rPr/>
              <w:t>74.4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0" w:type="dxa"/>
            <w:tcBorders/>
            <w:shd w:fill="CCEEFF" w:val="clear"/>
            <w:vAlign w:val="bottom"/>
          </w:tcPr>
          <w:p>
            <w:pPr>
              <w:pStyle w:val="TableContents"/>
              <w:bidi w:val="0"/>
              <w:spacing w:before="0" w:after="283"/>
              <w:jc w:val="right"/>
              <w:rPr/>
            </w:pPr>
            <w:r>
              <w:rPr/>
              <w:t>51.4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45</w:t>
            </w:r>
          </w:p>
        </w:tc>
        <w:tc>
          <w:tcPr>
            <w:tcW w:w="36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124.1</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108.9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14</w:t>
            </w:r>
          </w:p>
        </w:tc>
        <w:tc>
          <w:tcPr>
            <w:tcW w:w="375" w:type="dxa"/>
            <w:tcBorders/>
            <w:shd w:fill="CCEEFF" w:val="clear"/>
            <w:vAlign w:val="bottom"/>
          </w:tcPr>
          <w:p>
            <w:pPr>
              <w:pStyle w:val="TableContents"/>
              <w:bidi w:val="0"/>
              <w:spacing w:before="0" w:after="283"/>
              <w:jc w:val="left"/>
              <w:rPr/>
            </w:pPr>
            <w:r>
              <w:rPr/>
              <w:t>% </w:t>
            </w:r>
          </w:p>
        </w:tc>
      </w:tr>
      <w:tr>
        <w:trPr/>
        <w:tc>
          <w:tcPr>
            <w:tcW w:w="3591"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3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Consolidated adjusted EBITDA(2) increased $23.0 million, or 45%, in the quarter. This increase was primarily due to higher Surfactant and Polymer earnings driven by sales volume growth and margin recovery.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Surfactant net sales were $483.9 million for the quarter, up 18% versus the prior year. Selling prices were up 12% primarily due to pass through of higher raw material costs, improved product and customer mix, along with pricing actions. Global Sales volume was up 2% and organic sales volume increased 7%. All global regions recognized organic volume growth and our strategic end markets combined grew high single digits. Foreign currency translation positively impacted net sales by 4%. Surfactant adjusted EBITDA(2) for the quarter increased $20.4 million, or 59%, versus the prior year. This increase was primarily due to sales volume growth and margin recovery.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Polymer net sales were $178.0 million for the quarter, a 9% increase versus the prior year. Selling prices were up 3%, primarily due to the pass-through of higher raw material costs and margin recovery. Sales volume increased 5% in the quarter. North American sales volume was up double digits, inclusive of significant growth in Spray Foam, partially offset by lower volumes in Europe and Asia. Foreign currency translation positively impacted net sales by 1% during the quarter. Polymer adjusted EBITDA(2) increased $5.6 million, or 22%, versus the prior year primarily due to sales volume growth and global margin improvement.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Specialty Products net sales were $22.2 million for the quarter, an 8% increase versus the prior year. Specialty Products volume increased 4% while adjusted EBITDA(2) decreased $0.2 million, or 3%. The slight decrease in adjusted EBITDA(2) was primarily due to less favorable product mix within the medium chain triglycerides product line that was mostly offset by higher earnings in the food and flavor business.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Outlook </w:t>
      </w:r>
    </w:p>
    <w:p>
      <w:pPr>
        <w:pStyle w:val="TextBody"/>
        <w:bidi w:val="0"/>
        <w:spacing w:before="120" w:after="0"/>
        <w:jc w:val="left"/>
        <w:rPr/>
      </w:pPr>
      <w:r>
        <w:rPr/>
        <w:t>“</w:t>
      </w:r>
      <w:r>
        <w:rPr>
          <w:rFonts w:ascii="Times New Roman" w:hAnsi="Times New Roman"/>
          <w:i/>
          <w:sz w:val="20"/>
        </w:rPr>
        <w:t xml:space="preserve">We believe we are positioned to continue delivering growth in all our key strategic businesses such as Crop Productivity, Oilfield, Tier 2/3 Surfactants and North American Polymers. We continue to execute on Project Catalyst, which is our comprehensive plan designed to further optimize our asset base and create a more productive and agile organization to enable balanced growth,” said Luis E. Rojo, President and Chief Executive Officer. “Despite the ongoing and significant market uncertainties and challenges, the organization is focused on executing our growth opportunities, productivity plans and cash interventions. With these actions and the strong first half results, we believe we will deliver full year Adjusted EBITDA growth, positive free cash flow and continue to de-leverage the balance sheet in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Notes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Adjusted net income and adjusted earnings per share are non-GAAP measures which exclude deferred compensation income/expense, certain environmental remediation-related costs as well as other significant and infrequent/non-recurring items. See Table II for reconciliations of non-GAAP adjusted net income and adjusted earnings per diluted share.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EBITDA and adjusted EBITDA are non-GAAP measures. See Table VI for calculations and GAAP reconciliations of EBITDA and adjusted EBITDA.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Free cash flow is a non-GAAP measure and reflects cash generated from operations minus capital expenditures. Cash generated from operations was $8.4</w:t>
      </w:r>
      <w:r>
        <w:rPr>
          <w:rFonts w:ascii="Times New Roman" w:hAnsi="Times New Roman"/>
          <w:sz w:val="20"/>
        </w:rPr>
        <w:t> </w:t>
      </w:r>
      <w:r>
        <w:rPr>
          <w:rFonts w:ascii="Times New Roman" w:hAnsi="Times New Roman"/>
          <w:i/>
          <w:sz w:val="20"/>
        </w:rPr>
        <w:t>million during the second quarter of 2026 and capital expenditures were $23.4</w:t>
      </w:r>
      <w:r>
        <w:rPr>
          <w:rFonts w:ascii="Times New Roman" w:hAnsi="Times New Roman"/>
          <w:sz w:val="20"/>
        </w:rPr>
        <w:t> </w:t>
      </w:r>
      <w:r>
        <w:rPr>
          <w:rFonts w:ascii="Times New Roman" w:hAnsi="Times New Roman"/>
          <w:i/>
          <w:sz w:val="20"/>
        </w:rPr>
        <w:t xml:space="preserve">million.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Stepan Company will host a conference call to discuss its second quarter results at 9:00 a.m. ET (8:00 a.m. CT) on July 29, 2026. The call can be accessed by phone and webcast. To access the call by phone, please click on this </w:t>
      </w:r>
      <w:r>
        <w:rPr>
          <w:rFonts w:ascii="Times New Roman" w:hAnsi="Times New Roman"/>
          <w:sz w:val="20"/>
          <w:u w:val="single"/>
        </w:rPr>
        <w:t>Registration Link</w:t>
      </w:r>
      <w:r>
        <w:rPr>
          <w:rFonts w:ascii="Times New Roman" w:hAnsi="Times New Roman"/>
          <w:sz w:val="20"/>
        </w:rPr>
        <w:t xml:space="preserve">, complete the form and you will be provided with dial in details and a PIN. To avoid delays, we encourage participants to dial into the conference call ten minutes ahead of the scheduled start time. The webcast can be accessed through the </w:t>
      </w:r>
      <w:r>
        <w:rPr>
          <w:rFonts w:ascii="Times New Roman" w:hAnsi="Times New Roman"/>
          <w:i/>
          <w:sz w:val="20"/>
        </w:rPr>
        <w:t>Investors/Conference Calls</w:t>
      </w:r>
      <w:r>
        <w:rPr>
          <w:rFonts w:ascii="Times New Roman" w:hAnsi="Times New Roman"/>
          <w:sz w:val="20"/>
        </w:rPr>
        <w:t xml:space="preserve"> page at </w:t>
      </w:r>
      <w:r>
        <w:rPr>
          <w:rFonts w:ascii="Times New Roman" w:hAnsi="Times New Roman"/>
          <w:sz w:val="20"/>
          <w:u w:val="single"/>
        </w:rPr>
        <w:t>www.stepan.com</w:t>
      </w:r>
      <w:r>
        <w:rPr>
          <w:rFonts w:ascii="Times New Roman" w:hAnsi="Times New Roman"/>
          <w:sz w:val="20"/>
        </w:rPr>
        <w:t xml:space="preserve">. A webcast replay of the conference call will be available at the same location shortly after the call.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Supporting Slides </w:t>
      </w:r>
    </w:p>
    <w:p>
      <w:pPr>
        <w:pStyle w:val="TextBody"/>
        <w:bidi w:val="0"/>
        <w:spacing w:before="120" w:after="0"/>
        <w:jc w:val="left"/>
        <w:rPr>
          <w:rFonts w:ascii="Times New Roman" w:hAnsi="Times New Roman"/>
          <w:sz w:val="20"/>
        </w:rPr>
      </w:pPr>
      <w:r>
        <w:rPr>
          <w:rFonts w:ascii="Times New Roman" w:hAnsi="Times New Roman"/>
          <w:sz w:val="20"/>
        </w:rPr>
        <w:t xml:space="preserve">Slides supporting this press release will be made available at </w:t>
      </w:r>
      <w:r>
        <w:rPr>
          <w:rFonts w:ascii="Times New Roman" w:hAnsi="Times New Roman"/>
          <w:sz w:val="20"/>
          <w:u w:val="single"/>
        </w:rPr>
        <w:t>www.stepan.com</w:t>
      </w:r>
      <w:r>
        <w:rPr>
          <w:rFonts w:ascii="Times New Roman" w:hAnsi="Times New Roman"/>
          <w:sz w:val="20"/>
        </w:rPr>
        <w:t xml:space="preserve"> through the </w:t>
      </w:r>
      <w:r>
        <w:rPr>
          <w:rFonts w:ascii="Times New Roman" w:hAnsi="Times New Roman"/>
          <w:i/>
          <w:sz w:val="20"/>
        </w:rPr>
        <w:t xml:space="preserve">Investors/Presentations </w:t>
      </w:r>
      <w:r>
        <w:rPr>
          <w:rFonts w:ascii="Times New Roman" w:hAnsi="Times New Roman"/>
          <w:sz w:val="20"/>
        </w:rPr>
        <w:t xml:space="preserve">page at approximately the same time as this press release is issued.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Corporate Profile </w:t>
      </w:r>
    </w:p>
    <w:p>
      <w:pPr>
        <w:pStyle w:val="TextBody"/>
        <w:bidi w:val="0"/>
        <w:spacing w:before="120" w:after="0"/>
        <w:jc w:val="left"/>
        <w:rPr>
          <w:rFonts w:ascii="Times New Roman" w:hAnsi="Times New Roman"/>
          <w:sz w:val="20"/>
        </w:rPr>
      </w:pPr>
      <w:r>
        <w:rPr>
          <w:rFonts w:ascii="Times New Roman" w:hAnsi="Times New Roman"/>
          <w:sz w:val="20"/>
        </w:rPr>
        <w:t xml:space="preserve">Stepan Company is a major manufacturer of specialty and intermediate chemicals used in a broad range of industries. Stepan is a leading merchant producer of surfactants, which are the key ingredients in consumer and industrial cleaning and disinfection compounds and in agricultural and oilfield solutions. The Company is also a leading supplier of polyurethane polyols used in the expanding thermal insulation market, and CASE (Coatings, Adhesives, Sealants, and Elastomers) industries. </w:t>
      </w:r>
    </w:p>
    <w:p>
      <w:pPr>
        <w:pStyle w:val="TextBody"/>
        <w:bidi w:val="0"/>
        <w:spacing w:before="240" w:after="0"/>
        <w:jc w:val="left"/>
        <w:rPr>
          <w:rFonts w:ascii="Times New Roman" w:hAnsi="Times New Roman"/>
          <w:sz w:val="20"/>
        </w:rPr>
      </w:pPr>
      <w:r>
        <w:rPr>
          <w:rFonts w:ascii="Times New Roman" w:hAnsi="Times New Roman"/>
          <w:sz w:val="20"/>
        </w:rPr>
        <w:t xml:space="preserve">Headquartered in Northbrook, Illinois, Stepan utilizes a network of modern production facilities located in North and South America, Europe and Asia.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is traded on the New York Stock Exchange (NYSE) under the symbol SCL. For more information about Stepan Company please visit the Company online at www.stepan.com </w:t>
      </w:r>
    </w:p>
    <w:p>
      <w:pPr>
        <w:pStyle w:val="TextBody"/>
        <w:bidi w:val="0"/>
        <w:spacing w:before="240" w:after="0"/>
        <w:jc w:val="left"/>
        <w:rPr>
          <w:rFonts w:ascii="Times New Roman" w:hAnsi="Times New Roman"/>
          <w:sz w:val="20"/>
        </w:rPr>
      </w:pPr>
      <w:r>
        <w:rPr>
          <w:rFonts w:ascii="Times New Roman" w:hAnsi="Times New Roman"/>
          <w:sz w:val="20"/>
        </w:rPr>
        <w:t xml:space="preserve">More information about Stepan’s sustainability program can be found on the Sustainability page at www.stepan.com </w:t>
      </w:r>
    </w:p>
    <w:p>
      <w:pPr>
        <w:pStyle w:val="TextBody"/>
        <w:bidi w:val="0"/>
        <w:spacing w:before="240" w:after="0"/>
        <w:jc w:val="left"/>
        <w:rPr>
          <w:rFonts w:ascii="Times New Roman" w:hAnsi="Times New Roman"/>
          <w:sz w:val="20"/>
        </w:rPr>
      </w:pPr>
      <w:r>
        <w:rPr>
          <w:rFonts w:ascii="Times New Roman" w:hAnsi="Times New Roman"/>
          <w:sz w:val="20"/>
        </w:rPr>
        <w:t xml:space="preserve">Contact: Ruben Velasquez 847-446-7500 </w:t>
      </w:r>
    </w:p>
    <w:p>
      <w:pPr>
        <w:pStyle w:val="TextBody"/>
        <w:bidi w:val="0"/>
        <w:spacing w:before="240" w:after="0"/>
        <w:jc w:val="left"/>
        <w:rPr>
          <w:rFonts w:ascii="Times New Roman" w:hAnsi="Times New Roman"/>
          <w:i/>
          <w:sz w:val="20"/>
        </w:rPr>
      </w:pPr>
      <w:r>
        <w:rPr>
          <w:rFonts w:ascii="Times New Roman" w:hAnsi="Times New Roman"/>
          <w:i/>
          <w:sz w:val="20"/>
        </w:rPr>
        <w:t xml:space="preserve">Certain information in this news release consists of forward-looking statements within the meaning of the Private Securities Litigation Reform Act of 1995, Section 27A of the Securities Act of 1933, as amended, and Section 21E of the Securities Exchange Act of 1934, as amended. These statements include statements about Stepan Company’s plans, objectives, strategies, financial performance and outlook, trends, the amount and timing of future cash distributions, prospects or future events and involve known and unknown risks that are difficult to predict. As a result, Stepan Company’s actual financial results, performance, achievements or prospects may differ materially from those expressed or implied by these forward-looking statements. In some cases, you can identify forward-looking statements by the use of words such as “may,” “could,” “expect,” “intend,” “plan,” “seek,” “anticipate,” “believe,” “estimate,” “guidance,” “predict,” “potential,” “continue,” “likely,” “will,” “would,” “should,” “illustrative” and variations of these terms and similar expressions, or the negative of these terms or similar expressions. Such forward-looking statements are necessarily based upon estimates and assumptions that, while considered reasonable by Stepan Company and its management based on their knowledge and understanding of the business and industry, are inherently uncertain. These statements are not guarantees of future performance, and stockholders should not place undue reliance on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There are a number of risks, uncertainties and other important factors, many of which are beyond Stepan Company’s control, that could cause actual results to differ materially from the forward-looking statements contained in this news release. Such risks, uncertainties and other important factors include, among other factors, the risks, uncertainties and factors described in Stepan Company’s Form 10-K, Form 10-Q and Form 8-K reports and exhibits to those reports, and include (but are not limited to) risks and uncertainties related to our ability to realize cost savings or operating efficiencies associated with strategic initiatives, including Project Catalyst; accidents, unplanned production shutdowns or disruptions in manufacturing facilities; reduced demand due to customer product reformulations or new technologies; our inability to successfully develop or introduce new products; compliance with laws and other legal restrictions, including those relating to the international scope of our business; domestic and global competition; volatility of raw material and energy costs and supply; disruptions in transportation or significant changes in transportation costs; downturns in certain industries and general economic downturns; international business risks, including changes in global trade policies, tariffs and retaliatory measures and countermeasures; currency exchange rate fluctuations; changes in tax policy and potential adverse tax consequences due to the international scope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downgrades in our credit ratings or our ability to access the credit or capital markets if and when necessary; global political, military, security or other instability and increased security regulations; costs, delays and miscalculations in capacity needs related to expansion or other capital projects; interruption or breaches of information technology systems; unfavorable resolution of litigation against us; maintaining and protecting intellectual property rights; our ability to identify suitable acquisition candidates and successfully complete and integrate acquisitions; our ability to retain executive management and key personnel; and issues relating to compliance with our debt covenants. In addition to the risks described in the Company’s periodic reports, the restructuring actions described herein may involve risks related to the execution of facility closures and asset decommissioning, potential operational disruptions, impacts on employees and local communities, environmental compliance, and the realization of anticipated cost savings and efficiencies. </w:t>
      </w:r>
    </w:p>
    <w:p>
      <w:pPr>
        <w:pStyle w:val="TextBody"/>
        <w:bidi w:val="0"/>
        <w:spacing w:before="240" w:after="0"/>
        <w:jc w:val="left"/>
        <w:rPr>
          <w:rFonts w:ascii="Times New Roman" w:hAnsi="Times New Roman"/>
          <w:i/>
          <w:sz w:val="20"/>
        </w:rPr>
      </w:pPr>
      <w:r>
        <w:rPr>
          <w:rFonts w:ascii="Times New Roman" w:hAnsi="Times New Roman"/>
          <w:i/>
          <w:sz w:val="20"/>
        </w:rPr>
        <w:t xml:space="preserve">These forward-looking statements are made only as of the date hereof, and Stepan Company undertakes no obligation to update or revise these forward-looking statements, whether as a result of new information, future events or otherwise, except to the extent required by applicable laws.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240" w:after="0"/>
        <w:jc w:val="center"/>
        <w:rPr>
          <w:rFonts w:ascii="Times New Roman" w:hAnsi="Times New Roman"/>
          <w:sz w:val="20"/>
        </w:rPr>
      </w:pPr>
      <w:r>
        <w:rPr>
          <w:rFonts w:ascii="Times New Roman" w:hAnsi="Times New Roman"/>
          <w:sz w:val="20"/>
        </w:rPr>
        <w:t xml:space="preserve">Tables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8"/>
        </w:rPr>
      </w:pPr>
      <w:r>
        <w:rPr>
          <w:rFonts w:ascii="Times New Roman" w:hAnsi="Times New Roman"/>
          <w:b/>
          <w:sz w:val="28"/>
        </w:rPr>
        <w:t xml:space="preserve">Table I </w:t>
      </w:r>
    </w:p>
    <w:p>
      <w:pPr>
        <w:pStyle w:val="TextBody"/>
        <w:bidi w:val="0"/>
        <w:spacing w:before="480" w:after="0"/>
        <w:jc w:val="center"/>
        <w:rPr>
          <w:rFonts w:ascii="Times New Roman" w:hAnsi="Times New Roman"/>
          <w:b/>
          <w:sz w:val="20"/>
        </w:rPr>
      </w:pPr>
      <w:r>
        <w:rPr>
          <w:rFonts w:ascii="Times New Roman" w:hAnsi="Times New Roman"/>
          <w:b/>
          <w:sz w:val="20"/>
        </w:rPr>
        <w:t xml:space="preserve">STEPAN COMPANY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 in 000’s,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7"/>
        <w:gridCol w:w="144"/>
        <w:gridCol w:w="140"/>
        <w:gridCol w:w="802"/>
        <w:gridCol w:w="155"/>
        <w:gridCol w:w="102"/>
        <w:gridCol w:w="140"/>
        <w:gridCol w:w="802"/>
        <w:gridCol w:w="155"/>
        <w:gridCol w:w="102"/>
        <w:gridCol w:w="140"/>
        <w:gridCol w:w="989"/>
        <w:gridCol w:w="155"/>
        <w:gridCol w:w="102"/>
        <w:gridCol w:w="140"/>
        <w:gridCol w:w="989"/>
        <w:gridCol w:w="161"/>
      </w:tblGrid>
      <w:tr>
        <w:trPr/>
        <w:tc>
          <w:tcPr>
            <w:tcW w:w="4987"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8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1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49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Sales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684,109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594,689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1,288,618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1,187,944</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b/>
                <w:sz w:val="20"/>
              </w:rPr>
            </w:pPr>
            <w:r>
              <w:rPr>
                <w:rFonts w:ascii="Times New Roman" w:hAnsi="Times New Roman"/>
                <w:b/>
                <w:sz w:val="20"/>
              </w:rPr>
              <w:t>Cost of Sales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584,127</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522,804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1,123,785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1,040,596</w:t>
            </w:r>
          </w:p>
        </w:tc>
        <w:tc>
          <w:tcPr>
            <w:tcW w:w="161" w:type="dxa"/>
            <w:tcBorders/>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99,982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71,885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164,833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147,348</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14,866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14,657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27,032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26,765</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24,203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22,801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45,516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44,215</w:t>
            </w:r>
          </w:p>
        </w:tc>
        <w:tc>
          <w:tcPr>
            <w:tcW w:w="161" w:type="dxa"/>
            <w:tcBorders/>
            <w:vAlign w:val="bottom"/>
          </w:tcPr>
          <w:p>
            <w:pPr>
              <w:pStyle w:val="TableContents"/>
              <w:bidi w:val="0"/>
              <w:spacing w:before="0" w:after="283"/>
              <w:jc w:val="left"/>
              <w:rPr/>
            </w:pPr>
            <w:r>
              <w:rPr/>
              <w:t> </w:t>
            </w:r>
          </w:p>
        </w:tc>
      </w:tr>
      <w:tr>
        <w:trPr/>
        <w:tc>
          <w:tcPr>
            <w:tcW w:w="4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Development and Technical Services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17,195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14,701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32,188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29,350</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1,402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1,761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1,964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765</w:t>
            </w:r>
          </w:p>
        </w:tc>
        <w:tc>
          <w:tcPr>
            <w:tcW w:w="161" w:type="dxa"/>
            <w:tcBorders/>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57,666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53,920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106,700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101,095</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sz w:val="20"/>
              </w:rPr>
            </w:pPr>
            <w:r>
              <w:rPr>
                <w:rFonts w:ascii="Times New Roman" w:hAnsi="Times New Roman"/>
                <w:sz w:val="20"/>
              </w:rPr>
              <w:t>Business Restructuring</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5,106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70,545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37,210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17,965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(12,412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46,253</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(5,682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(5,485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(10,693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(9,611</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1,021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1,306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1,165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1,808</w:t>
            </w:r>
          </w:p>
        </w:tc>
        <w:tc>
          <w:tcPr>
            <w:tcW w:w="161" w:type="dxa"/>
            <w:tcBorders/>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(4,661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(4,179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(9,528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(7,803</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Provision for Income Taxes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32,549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13,786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(21,940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38,450</w:t>
            </w:r>
          </w:p>
        </w:tc>
        <w:tc>
          <w:tcPr>
            <w:tcW w:w="161" w:type="dxa"/>
            <w:tcBorders/>
            <w:vAlign w:val="bottom"/>
          </w:tcPr>
          <w:p>
            <w:pPr>
              <w:pStyle w:val="TableContents"/>
              <w:bidi w:val="0"/>
              <w:spacing w:before="0" w:after="283"/>
              <w:jc w:val="left"/>
              <w:rPr/>
            </w:pPr>
            <w:r>
              <w:rPr/>
              <w:t> </w:t>
            </w:r>
          </w:p>
        </w:tc>
      </w:tr>
      <w:tr>
        <w:trPr/>
        <w:tc>
          <w:tcPr>
            <w:tcW w:w="49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Provision for Income Taxes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9,638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2,445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(3,445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7,398</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22,911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11,341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(18,495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31,052</w:t>
            </w:r>
          </w:p>
        </w:tc>
        <w:tc>
          <w:tcPr>
            <w:tcW w:w="161" w:type="dxa"/>
            <w:tcBorders/>
            <w:vAlign w:val="bottom"/>
          </w:tcPr>
          <w:p>
            <w:pPr>
              <w:pStyle w:val="TableContents"/>
              <w:bidi w:val="0"/>
              <w:spacing w:before="0" w:after="283"/>
              <w:jc w:val="left"/>
              <w:rPr/>
            </w:pPr>
            <w:r>
              <w:rPr/>
              <w:t> </w:t>
            </w:r>
          </w:p>
        </w:tc>
      </w:tr>
      <w:tr>
        <w:trPr/>
        <w:tc>
          <w:tcPr>
            <w:tcW w:w="49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Per Common Share</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987"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0.50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(0.81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1.36</w:t>
            </w:r>
          </w:p>
        </w:tc>
        <w:tc>
          <w:tcPr>
            <w:tcW w:w="161" w:type="dxa"/>
            <w:tcBorders/>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0.50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(0.81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1.36</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b/>
                <w:sz w:val="20"/>
              </w:rPr>
            </w:pPr>
            <w:r>
              <w:rPr>
                <w:rFonts w:ascii="Times New Roman" w:hAnsi="Times New Roman"/>
                <w:b/>
                <w:sz w:val="20"/>
              </w:rPr>
              <w:t>Shares Used to Compute Net Income Per Common Share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22,897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22,865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22,893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22,866</w:t>
            </w:r>
          </w:p>
        </w:tc>
        <w:tc>
          <w:tcPr>
            <w:tcW w:w="161" w:type="dxa"/>
            <w:tcBorders/>
            <w:shd w:fill="CCEEFF" w:val="clear"/>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7"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22,924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22,879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22,893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22,885</w:t>
            </w:r>
          </w:p>
        </w:tc>
        <w:tc>
          <w:tcPr>
            <w:tcW w:w="161" w:type="dxa"/>
            <w:tcBorders/>
            <w:vAlign w:val="bottom"/>
          </w:tcPr>
          <w:p>
            <w:pPr>
              <w:pStyle w:val="TableContents"/>
              <w:bidi w:val="0"/>
              <w:spacing w:before="0" w:after="283"/>
              <w:jc w:val="left"/>
              <w:rPr/>
            </w:pPr>
            <w:r>
              <w:rPr/>
              <w:t> </w:t>
            </w:r>
          </w:p>
        </w:tc>
      </w:tr>
      <w:tr>
        <w:trPr/>
        <w:tc>
          <w:tcPr>
            <w:tcW w:w="498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Table II </w:t>
      </w:r>
    </w:p>
    <w:p>
      <w:pPr>
        <w:pStyle w:val="TextBody"/>
        <w:bidi w:val="0"/>
        <w:spacing w:before="240" w:after="0"/>
        <w:jc w:val="center"/>
        <w:rPr>
          <w:rFonts w:ascii="Times New Roman" w:hAnsi="Times New Roman"/>
          <w:b/>
          <w:sz w:val="20"/>
        </w:rPr>
      </w:pPr>
      <w:r>
        <w:rPr>
          <w:rFonts w:ascii="Times New Roman" w:hAnsi="Times New Roman"/>
          <w:b/>
          <w:sz w:val="20"/>
        </w:rPr>
        <w:t xml:space="preserve">Reconciliation of Non-GAAP Net Income (Loss) and Earnings per Diluted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2"/>
        <w:gridCol w:w="133"/>
        <w:gridCol w:w="140"/>
        <w:gridCol w:w="690"/>
        <w:gridCol w:w="60"/>
        <w:gridCol w:w="133"/>
        <w:gridCol w:w="140"/>
        <w:gridCol w:w="448"/>
        <w:gridCol w:w="60"/>
        <w:gridCol w:w="133"/>
        <w:gridCol w:w="140"/>
        <w:gridCol w:w="690"/>
        <w:gridCol w:w="60"/>
        <w:gridCol w:w="133"/>
        <w:gridCol w:w="140"/>
        <w:gridCol w:w="448"/>
        <w:gridCol w:w="60"/>
        <w:gridCol w:w="133"/>
        <w:gridCol w:w="140"/>
        <w:gridCol w:w="783"/>
        <w:gridCol w:w="155"/>
        <w:gridCol w:w="79"/>
        <w:gridCol w:w="140"/>
        <w:gridCol w:w="515"/>
        <w:gridCol w:w="155"/>
        <w:gridCol w:w="79"/>
        <w:gridCol w:w="140"/>
        <w:gridCol w:w="690"/>
        <w:gridCol w:w="155"/>
        <w:gridCol w:w="79"/>
        <w:gridCol w:w="140"/>
        <w:gridCol w:w="516"/>
        <w:gridCol w:w="166"/>
      </w:tblGrid>
      <w:tr>
        <w:trPr/>
        <w:tc>
          <w:tcPr>
            <w:tcW w:w="253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4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76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6" w:type="dxa"/>
            <w:tcBorders/>
            <w:vAlign w:val="bottom"/>
          </w:tcPr>
          <w:p>
            <w:pPr>
              <w:pStyle w:val="TableContents"/>
              <w:bidi w:val="0"/>
              <w:spacing w:before="0" w:after="283"/>
              <w:jc w:val="left"/>
              <w:rPr/>
            </w:pPr>
            <w:r>
              <w:rPr/>
              <w:t> </w:t>
            </w:r>
          </w:p>
        </w:tc>
      </w:tr>
      <w:tr>
        <w:trPr/>
        <w:tc>
          <w:tcPr>
            <w:tcW w:w="2532" w:type="dxa"/>
            <w:tcBorders/>
            <w:vAlign w:val="bottom"/>
          </w:tcPr>
          <w:p>
            <w:pPr>
              <w:pStyle w:val="TableContents"/>
              <w:bidi w:val="0"/>
              <w:spacing w:before="0" w:after="283"/>
              <w:jc w:val="left"/>
              <w:rPr>
                <w:b/>
                <w:i/>
              </w:rPr>
            </w:pPr>
            <w:r>
              <w:rPr>
                <w:b/>
                <w:i/>
              </w:rPr>
              <w:t>($ in thousands, except per share amounts)</w:t>
            </w:r>
          </w:p>
        </w:tc>
        <w:tc>
          <w:tcPr>
            <w:tcW w:w="13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6" w:type="dxa"/>
            <w:tcBorders/>
            <w:vAlign w:val="bottom"/>
          </w:tcPr>
          <w:p>
            <w:pPr>
              <w:pStyle w:val="TableContents"/>
              <w:bidi w:val="0"/>
              <w:spacing w:before="0" w:after="283"/>
              <w:jc w:val="left"/>
              <w:rPr/>
            </w:pPr>
            <w:r>
              <w:rPr/>
              <w:t> </w:t>
            </w:r>
          </w:p>
        </w:tc>
      </w:tr>
      <w:tr>
        <w:trPr/>
        <w:tc>
          <w:tcPr>
            <w:tcW w:w="25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Reported</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22,911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11,341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0.50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(18,495</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5" w:type="dxa"/>
            <w:tcBorders/>
            <w:shd w:fill="CCEEFF" w:val="clear"/>
            <w:vAlign w:val="bottom"/>
          </w:tcPr>
          <w:p>
            <w:pPr>
              <w:pStyle w:val="TableContents"/>
              <w:bidi w:val="0"/>
              <w:spacing w:before="0" w:after="283"/>
              <w:jc w:val="right"/>
              <w:rPr/>
            </w:pPr>
            <w:r>
              <w:rPr/>
              <w:t>(0.81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31,052</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6" w:type="dxa"/>
            <w:tcBorders/>
            <w:shd w:fill="CCEEFF" w:val="clear"/>
            <w:vAlign w:val="bottom"/>
          </w:tcPr>
          <w:p>
            <w:pPr>
              <w:pStyle w:val="TableContents"/>
              <w:bidi w:val="0"/>
              <w:spacing w:before="0" w:after="283"/>
              <w:jc w:val="right"/>
              <w:rPr/>
            </w:pPr>
            <w:r>
              <w:rPr/>
              <w:t>1.36</w:t>
            </w:r>
          </w:p>
        </w:tc>
        <w:tc>
          <w:tcPr>
            <w:tcW w:w="166" w:type="dxa"/>
            <w:tcBorders/>
            <w:shd w:fill="CCEEFF" w:val="clear"/>
            <w:vAlign w:val="bottom"/>
          </w:tcPr>
          <w:p>
            <w:pPr>
              <w:pStyle w:val="TableContents"/>
              <w:bidi w:val="0"/>
              <w:spacing w:before="0" w:after="283"/>
              <w:jc w:val="left"/>
              <w:rPr/>
            </w:pPr>
            <w:r>
              <w:rPr/>
              <w:t> </w:t>
            </w:r>
          </w:p>
        </w:tc>
      </w:tr>
      <w:tr>
        <w:trPr/>
        <w:tc>
          <w:tcPr>
            <w:tcW w:w="2532"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 (Income) Expense</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3" w:type="dxa"/>
            <w:tcBorders/>
            <w:vAlign w:val="bottom"/>
          </w:tcPr>
          <w:p>
            <w:pPr>
              <w:pStyle w:val="TableContents"/>
              <w:bidi w:val="0"/>
              <w:spacing w:before="0" w:after="283"/>
              <w:jc w:val="right"/>
              <w:rPr/>
            </w:pPr>
            <w:r>
              <w:rPr/>
              <w:t>529</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5"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(401</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6" w:type="dxa"/>
            <w:tcBorders/>
            <w:vAlign w:val="bottom"/>
          </w:tcPr>
          <w:p>
            <w:pPr>
              <w:pStyle w:val="TableContents"/>
              <w:bidi w:val="0"/>
              <w:spacing w:before="0" w:after="283"/>
              <w:jc w:val="right"/>
              <w:rPr/>
            </w:pPr>
            <w:r>
              <w:rPr/>
              <w:t>(0.02</w:t>
            </w:r>
          </w:p>
        </w:tc>
        <w:tc>
          <w:tcPr>
            <w:tcW w:w="166" w:type="dxa"/>
            <w:tcBorders/>
            <w:vAlign w:val="bottom"/>
          </w:tcPr>
          <w:p>
            <w:pPr>
              <w:pStyle w:val="TableContents"/>
              <w:bidi w:val="0"/>
              <w:spacing w:before="0" w:after="283"/>
              <w:jc w:val="left"/>
              <w:rPr/>
            </w:pPr>
            <w:r>
              <w:rPr/>
              <w:t>) </w:t>
            </w:r>
          </w:p>
        </w:tc>
      </w:tr>
      <w:tr>
        <w:trPr/>
        <w:tc>
          <w:tcPr>
            <w:tcW w:w="25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Environmental Remediation Expense</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92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542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0.02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5"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611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6" w:type="dxa"/>
            <w:tcBorders/>
            <w:shd w:fill="CCEEFF" w:val="clear"/>
            <w:vAlign w:val="bottom"/>
          </w:tcPr>
          <w:p>
            <w:pPr>
              <w:pStyle w:val="TableContents"/>
              <w:bidi w:val="0"/>
              <w:spacing w:before="0" w:after="283"/>
              <w:jc w:val="right"/>
              <w:rPr/>
            </w:pPr>
            <w:r>
              <w:rPr/>
              <w:t>0.03</w:t>
            </w:r>
          </w:p>
        </w:tc>
        <w:tc>
          <w:tcPr>
            <w:tcW w:w="166" w:type="dxa"/>
            <w:tcBorders/>
            <w:shd w:fill="CCEEFF" w:val="clear"/>
            <w:vAlign w:val="bottom"/>
          </w:tcPr>
          <w:p>
            <w:pPr>
              <w:pStyle w:val="TableContents"/>
              <w:bidi w:val="0"/>
              <w:spacing w:before="0" w:after="283"/>
              <w:jc w:val="left"/>
              <w:rPr/>
            </w:pPr>
            <w:r>
              <w:rPr/>
              <w:t> </w:t>
            </w:r>
          </w:p>
        </w:tc>
      </w:tr>
      <w:tr>
        <w:trPr/>
        <w:tc>
          <w:tcPr>
            <w:tcW w:w="2532" w:type="dxa"/>
            <w:tcBorders/>
          </w:tcPr>
          <w:p>
            <w:pPr>
              <w:pStyle w:val="TableContents"/>
              <w:bidi w:val="0"/>
              <w:spacing w:before="0" w:after="0"/>
              <w:jc w:val="left"/>
              <w:rPr>
                <w:rFonts w:ascii="Times New Roman" w:hAnsi="Times New Roman"/>
                <w:sz w:val="20"/>
              </w:rPr>
            </w:pPr>
            <w:r>
              <w:rPr>
                <w:rFonts w:ascii="Times New Roman" w:hAnsi="Times New Roman"/>
                <w:sz w:val="20"/>
              </w:rPr>
              <w:t>Business Restructuring</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3,997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3" w:type="dxa"/>
            <w:tcBorders/>
            <w:vAlign w:val="bottom"/>
          </w:tcPr>
          <w:p>
            <w:pPr>
              <w:pStyle w:val="TableContents"/>
              <w:bidi w:val="0"/>
              <w:spacing w:before="0" w:after="283"/>
              <w:jc w:val="right"/>
              <w:rPr/>
            </w:pPr>
            <w:r>
              <w:rPr/>
              <w:t>55,161</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5"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6"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532"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27,052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1.18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11,952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0.52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37,365</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5"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31,262</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6" w:type="dxa"/>
            <w:tcBorders/>
            <w:shd w:fill="CCEEFF" w:val="clear"/>
            <w:vAlign w:val="bottom"/>
          </w:tcPr>
          <w:p>
            <w:pPr>
              <w:pStyle w:val="TableContents"/>
              <w:bidi w:val="0"/>
              <w:spacing w:before="0" w:after="283"/>
              <w:jc w:val="right"/>
              <w:rPr/>
            </w:pPr>
            <w:r>
              <w:rPr/>
              <w:t>1.37</w:t>
            </w:r>
          </w:p>
        </w:tc>
        <w:tc>
          <w:tcPr>
            <w:tcW w:w="166" w:type="dxa"/>
            <w:tcBorders/>
            <w:shd w:fill="CCEEFF" w:val="clear"/>
            <w:vAlign w:val="bottom"/>
          </w:tcPr>
          <w:p>
            <w:pPr>
              <w:pStyle w:val="TableContents"/>
              <w:bidi w:val="0"/>
              <w:spacing w:before="0" w:after="283"/>
              <w:jc w:val="left"/>
              <w:rPr/>
            </w:pPr>
            <w:r>
              <w:rPr/>
              <w:t> </w:t>
            </w:r>
          </w:p>
        </w:tc>
      </w:tr>
      <w:tr>
        <w:trPr/>
        <w:tc>
          <w:tcPr>
            <w:tcW w:w="2532"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i/>
                <w:sz w:val="20"/>
              </w:rPr>
              <w:t>All amounts in this table are presented after-tax</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certain non-GAAP measures, in conjunction with comparable GAAP measures, are useful for evaluating the Company’s operating performance and financial condition. The Company uses this non-GAAP information as an indicator of business performance and evaluates management’s effectiveness with specific reference to these indicators. Management believes that these non-GAAP financial measures provide useful supplemental information because they exclude non-operational items that affect comparability between years. These measures should be considered in addition to, not as substitutes for or superior to, measures of financial performance prepared in accordance with GAAP and may differ from similarly titled measures presented by other companies. The Company’s Annual Report on Form 10-K for the year ended December 31, 2025 contains additional information regarding the use of non-GAAP financial measures.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Summary of Second Quarter 2026 Adjusted Net Income Items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excludes non-operational deferred compensation income/expense, certain environmental remediation costs and other significant and infrequent or non-recurring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Deferred Compensation:</w:t>
            </w:r>
            <w:r>
              <w:rPr>
                <w:rFonts w:ascii="Times New Roman" w:hAnsi="Times New Roman"/>
                <w:sz w:val="20"/>
              </w:rPr>
              <w:t xml:space="preserve"> The second quarter of 2026 reported net income includes $0.1 million of after-tax expense versus $0.1 million of after-tax expense in the prior year.</w:t>
            </w:r>
            <w:r>
              <w:rPr>
                <w:rFonts w:ascii="Times New Roman" w:hAnsi="Times New Roman"/>
                <w:sz w:val="20"/>
                <w:u w:val="single"/>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Environmental Remediation: </w:t>
            </w:r>
            <w:r>
              <w:rPr>
                <w:rFonts w:ascii="Times New Roman" w:hAnsi="Times New Roman"/>
                <w:sz w:val="20"/>
              </w:rPr>
              <w:t xml:space="preserve">The second quarter of 2026 reported net income includes $0.1 million of after-tax expense versus $0.5 million of after-tax expense in the prior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Business Restructuring:</w:t>
            </w:r>
            <w:r>
              <w:rPr>
                <w:rFonts w:ascii="Times New Roman" w:hAnsi="Times New Roman"/>
                <w:sz w:val="20"/>
              </w:rPr>
              <w:t xml:space="preserve"> The second quarter of 2026 reported net income includes $4.0 million of after-tax expense related to restructuring charges. There were no restructuring charges recognized in the prior year quarter.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Table III </w:t>
      </w:r>
    </w:p>
    <w:p>
      <w:pPr>
        <w:pStyle w:val="TextBody"/>
        <w:bidi w:val="0"/>
        <w:spacing w:before="240" w:after="0"/>
        <w:jc w:val="center"/>
        <w:rPr>
          <w:rFonts w:ascii="Times New Roman" w:hAnsi="Times New Roman"/>
          <w:b/>
          <w:sz w:val="20"/>
        </w:rPr>
      </w:pPr>
      <w:r>
        <w:rPr>
          <w:rFonts w:ascii="Times New Roman" w:hAnsi="Times New Roman"/>
          <w:b/>
          <w:sz w:val="20"/>
        </w:rPr>
        <w:t xml:space="preserve">Reconciliation of Pre-Tax to After-Tax Adjustments </w:t>
      </w:r>
    </w:p>
    <w:p>
      <w:pPr>
        <w:pStyle w:val="TextBody"/>
        <w:bidi w:val="0"/>
        <w:spacing w:before="240" w:after="0"/>
        <w:jc w:val="left"/>
        <w:rPr>
          <w:rFonts w:ascii="Times New Roman" w:hAnsi="Times New Roman"/>
          <w:sz w:val="20"/>
        </w:rPr>
      </w:pPr>
      <w:r>
        <w:rPr>
          <w:rFonts w:ascii="Times New Roman" w:hAnsi="Times New Roman"/>
          <w:sz w:val="20"/>
        </w:rPr>
        <w:t xml:space="preserve">Management uses the non-GAAP adjusted net income metric to evaluate the Company’s operating performance. Management excludes the items listed in the table below because they are non-operational items. The cumulative tax effect is typically calculated using the statutory tax rates for the jurisdictions in which the transactions occurred.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86"/>
        <w:gridCol w:w="138"/>
        <w:gridCol w:w="140"/>
        <w:gridCol w:w="653"/>
        <w:gridCol w:w="155"/>
        <w:gridCol w:w="86"/>
        <w:gridCol w:w="140"/>
        <w:gridCol w:w="450"/>
        <w:gridCol w:w="60"/>
        <w:gridCol w:w="138"/>
        <w:gridCol w:w="140"/>
        <w:gridCol w:w="463"/>
        <w:gridCol w:w="155"/>
        <w:gridCol w:w="86"/>
        <w:gridCol w:w="140"/>
        <w:gridCol w:w="450"/>
        <w:gridCol w:w="60"/>
        <w:gridCol w:w="138"/>
        <w:gridCol w:w="140"/>
        <w:gridCol w:w="757"/>
        <w:gridCol w:w="154"/>
        <w:gridCol w:w="86"/>
        <w:gridCol w:w="140"/>
        <w:gridCol w:w="450"/>
        <w:gridCol w:w="60"/>
        <w:gridCol w:w="138"/>
        <w:gridCol w:w="140"/>
        <w:gridCol w:w="463"/>
        <w:gridCol w:w="155"/>
        <w:gridCol w:w="86"/>
        <w:gridCol w:w="140"/>
        <w:gridCol w:w="450"/>
        <w:gridCol w:w="68"/>
      </w:tblGrid>
      <w:tr>
        <w:trPr/>
        <w:tc>
          <w:tcPr>
            <w:tcW w:w="318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18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325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335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8" w:type="dxa"/>
            <w:tcBorders/>
            <w:vAlign w:val="bottom"/>
          </w:tcPr>
          <w:p>
            <w:pPr>
              <w:pStyle w:val="TableContents"/>
              <w:bidi w:val="0"/>
              <w:spacing w:before="0" w:after="283"/>
              <w:jc w:val="left"/>
              <w:rPr/>
            </w:pPr>
            <w:r>
              <w:rPr/>
              <w:t> </w:t>
            </w:r>
          </w:p>
        </w:tc>
      </w:tr>
      <w:tr>
        <w:trPr/>
        <w:tc>
          <w:tcPr>
            <w:tcW w:w="3186" w:type="dxa"/>
            <w:tcBorders/>
            <w:vAlign w:val="bottom"/>
          </w:tcPr>
          <w:p>
            <w:pPr>
              <w:pStyle w:val="TableContents"/>
              <w:bidi w:val="0"/>
              <w:spacing w:before="0" w:after="283"/>
              <w:jc w:val="left"/>
              <w:rPr>
                <w:b/>
                <w:i/>
              </w:rPr>
            </w:pPr>
            <w:r>
              <w:rPr>
                <w:b/>
                <w:i/>
              </w:rPr>
              <w:t>($ in thousands, except per share amounts)</w:t>
            </w:r>
          </w:p>
        </w:tc>
        <w:tc>
          <w:tcPr>
            <w:tcW w:w="138"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68" w:type="dxa"/>
            <w:tcBorders/>
            <w:vAlign w:val="bottom"/>
          </w:tcPr>
          <w:p>
            <w:pPr>
              <w:pStyle w:val="TableContents"/>
              <w:bidi w:val="0"/>
              <w:spacing w:before="0" w:after="283"/>
              <w:jc w:val="left"/>
              <w:rPr/>
            </w:pPr>
            <w:r>
              <w:rPr/>
              <w:t> </w:t>
            </w:r>
          </w:p>
        </w:tc>
      </w:tr>
      <w:tr>
        <w:trPr/>
        <w:tc>
          <w:tcPr>
            <w:tcW w:w="3186"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Pre-Tax Adjustments</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186" w:type="dxa"/>
            <w:tcBorders/>
            <w:vAlign w:val="bottom"/>
          </w:tcPr>
          <w:p>
            <w:pPr>
              <w:pStyle w:val="TableContents"/>
              <w:bidi w:val="0"/>
              <w:spacing w:before="0" w:after="283"/>
              <w:jc w:val="left"/>
              <w:rPr>
                <w:sz w:val="20"/>
              </w:rPr>
            </w:pPr>
            <w:r>
              <w:rPr>
                <w:sz w:val="20"/>
              </w:rPr>
              <w:t>Deferred Compensation (Income) Expense</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696</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(534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186" w:type="dxa"/>
            <w:tcBorders/>
            <w:shd w:fill="CCEEFF" w:val="clear"/>
            <w:vAlign w:val="bottom"/>
          </w:tcPr>
          <w:p>
            <w:pPr>
              <w:pStyle w:val="TableContents"/>
              <w:bidi w:val="0"/>
              <w:spacing w:before="0" w:after="283"/>
              <w:jc w:val="left"/>
              <w:rPr>
                <w:sz w:val="20"/>
              </w:rPr>
            </w:pPr>
            <w:r>
              <w:rPr>
                <w:sz w:val="20"/>
              </w:rPr>
              <w:t>Environmental Remediation Expense</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223</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814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186" w:type="dxa"/>
            <w:tcBorders/>
            <w:vAlign w:val="bottom"/>
          </w:tcPr>
          <w:p>
            <w:pPr>
              <w:pStyle w:val="TableContents"/>
              <w:bidi w:val="0"/>
              <w:spacing w:before="0" w:after="283"/>
              <w:jc w:val="left"/>
              <w:rPr>
                <w:sz w:val="20"/>
              </w:rPr>
            </w:pPr>
            <w:r>
              <w:rPr>
                <w:sz w:val="20"/>
              </w:rPr>
              <w:t>Business Restructuring</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5,106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70,545</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18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Pre-Tax Adjustments</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5,295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814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71,464</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280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186" w:type="dxa"/>
            <w:tcBorders/>
          </w:tcPr>
          <w:p>
            <w:pPr>
              <w:pStyle w:val="TableContents"/>
              <w:bidi w:val="0"/>
              <w:spacing w:before="0" w:after="0"/>
              <w:jc w:val="left"/>
              <w:rPr>
                <w:rFonts w:ascii="Times New Roman" w:hAnsi="Times New Roman"/>
                <w:sz w:val="20"/>
              </w:rPr>
            </w:pPr>
            <w:r>
              <w:rPr>
                <w:rFonts w:ascii="Times New Roman" w:hAnsi="Times New Roman"/>
                <w:sz w:val="20"/>
              </w:rPr>
              <w:t>Cumulative Tax Effect on Adjustments</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(1,154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(203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(15,604</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18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After-Tax Adjustments</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4,141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611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0.02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55,860</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2.44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0.01</w:t>
            </w:r>
          </w:p>
        </w:tc>
        <w:tc>
          <w:tcPr>
            <w:tcW w:w="68" w:type="dxa"/>
            <w:tcBorders/>
            <w:shd w:fill="CCEEFF" w:val="clear"/>
            <w:vAlign w:val="bottom"/>
          </w:tcPr>
          <w:p>
            <w:pPr>
              <w:pStyle w:val="TableContents"/>
              <w:bidi w:val="0"/>
              <w:spacing w:before="0" w:after="283"/>
              <w:jc w:val="left"/>
              <w:rPr/>
            </w:pPr>
            <w:r>
              <w:rPr/>
              <w:t> </w:t>
            </w:r>
          </w:p>
        </w:tc>
      </w:tr>
      <w:tr>
        <w:trPr/>
        <w:tc>
          <w:tcPr>
            <w:tcW w:w="318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Table IV </w:t>
      </w:r>
    </w:p>
    <w:p>
      <w:pPr>
        <w:pStyle w:val="TextBody"/>
        <w:bidi w:val="0"/>
        <w:spacing w:before="240" w:after="0"/>
        <w:jc w:val="center"/>
        <w:rPr>
          <w:rFonts w:ascii="Times New Roman" w:hAnsi="Times New Roman"/>
          <w:b/>
          <w:sz w:val="20"/>
        </w:rPr>
      </w:pPr>
      <w:r>
        <w:rPr>
          <w:rFonts w:ascii="Times New Roman" w:hAnsi="Times New Roman"/>
          <w:b/>
          <w:sz w:val="20"/>
        </w:rPr>
        <w:t xml:space="preserve">Deferred Compensation Plans </w:t>
      </w:r>
    </w:p>
    <w:p>
      <w:pPr>
        <w:pStyle w:val="TextBody"/>
        <w:bidi w:val="0"/>
        <w:spacing w:before="240" w:after="0"/>
        <w:jc w:val="left"/>
        <w:rPr>
          <w:rFonts w:ascii="Times New Roman" w:hAnsi="Times New Roman"/>
          <w:sz w:val="20"/>
        </w:rPr>
      </w:pPr>
      <w:r>
        <w:rPr>
          <w:rFonts w:ascii="Times New Roman" w:hAnsi="Times New Roman"/>
          <w:sz w:val="20"/>
        </w:rPr>
        <w:t xml:space="preserve">The full effect of the deferred compensation plans on quarterly pre-tax income was $0.1 million of expense versus $0.1 million of expense in the prior year. The quarter-end market prices of Company stock and the impact of deferred compensation on specific income statement line items is summarized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50"/>
        <w:gridCol w:w="211"/>
        <w:gridCol w:w="140"/>
        <w:gridCol w:w="563"/>
        <w:gridCol w:w="60"/>
        <w:gridCol w:w="211"/>
        <w:gridCol w:w="140"/>
        <w:gridCol w:w="563"/>
        <w:gridCol w:w="60"/>
        <w:gridCol w:w="211"/>
        <w:gridCol w:w="140"/>
        <w:gridCol w:w="563"/>
        <w:gridCol w:w="60"/>
        <w:gridCol w:w="211"/>
        <w:gridCol w:w="140"/>
        <w:gridCol w:w="563"/>
        <w:gridCol w:w="60"/>
        <w:gridCol w:w="211"/>
        <w:gridCol w:w="140"/>
        <w:gridCol w:w="563"/>
        <w:gridCol w:w="60"/>
        <w:gridCol w:w="211"/>
        <w:gridCol w:w="140"/>
        <w:gridCol w:w="563"/>
        <w:gridCol w:w="71"/>
      </w:tblGrid>
      <w:tr>
        <w:trPr/>
        <w:tc>
          <w:tcPr>
            <w:tcW w:w="435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62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1" w:type="dxa"/>
            <w:tcBorders/>
            <w:vAlign w:val="bottom"/>
          </w:tcPr>
          <w:p>
            <w:pPr>
              <w:pStyle w:val="TableContents"/>
              <w:bidi w:val="0"/>
              <w:spacing w:before="0" w:after="283"/>
              <w:jc w:val="left"/>
              <w:rPr/>
            </w:pPr>
            <w:r>
              <w:rPr/>
              <w:t> </w:t>
            </w:r>
          </w:p>
        </w:tc>
      </w:tr>
      <w:tr>
        <w:trPr/>
        <w:tc>
          <w:tcPr>
            <w:tcW w:w="43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w:t>
            </w:r>
          </w:p>
        </w:tc>
        <w:tc>
          <w:tcPr>
            <w:tcW w:w="71" w:type="dxa"/>
            <w:tcBorders/>
            <w:vAlign w:val="bottom"/>
          </w:tcPr>
          <w:p>
            <w:pPr>
              <w:pStyle w:val="TableContents"/>
              <w:bidi w:val="0"/>
              <w:spacing w:before="0" w:after="283"/>
              <w:jc w:val="left"/>
              <w:rPr/>
            </w:pPr>
            <w:r>
              <w:rPr/>
              <w:t> </w:t>
            </w:r>
          </w:p>
        </w:tc>
      </w:tr>
      <w:tr>
        <w:trPr/>
        <w:tc>
          <w:tcPr>
            <w:tcW w:w="4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55.72</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49.98</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47.36</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47.70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54.58</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55.04</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9"/>
        <w:gridCol w:w="155"/>
        <w:gridCol w:w="175"/>
        <w:gridCol w:w="825"/>
        <w:gridCol w:w="194"/>
        <w:gridCol w:w="118"/>
        <w:gridCol w:w="175"/>
        <w:gridCol w:w="826"/>
        <w:gridCol w:w="155"/>
        <w:gridCol w:w="105"/>
        <w:gridCol w:w="158"/>
        <w:gridCol w:w="760"/>
        <w:gridCol w:w="174"/>
        <w:gridCol w:w="111"/>
        <w:gridCol w:w="158"/>
        <w:gridCol w:w="636"/>
        <w:gridCol w:w="161"/>
      </w:tblGrid>
      <w:tr>
        <w:trPr/>
        <w:tc>
          <w:tcPr>
            <w:tcW w:w="531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1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b/>
                <w:i/>
              </w:rPr>
            </w:pPr>
            <w:r>
              <w:rPr>
                <w:b/>
                <w:i/>
              </w:rPr>
              <w:t>($ in thousands)</w:t>
            </w:r>
          </w:p>
        </w:tc>
        <w:tc>
          <w:tcPr>
            <w:tcW w:w="155"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center"/>
              <w:rPr>
                <w:b/>
              </w:rPr>
            </w:pPr>
            <w:r>
              <w:rPr>
                <w:b/>
              </w:rPr>
              <w:t>2026</w:t>
            </w:r>
          </w:p>
        </w:tc>
        <w:tc>
          <w:tcPr>
            <w:tcW w:w="19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18" w:type="dxa"/>
            <w:gridSpan w:val="2"/>
            <w:tcBorders/>
            <w:vAlign w:val="bottom"/>
          </w:tcPr>
          <w:p>
            <w:pPr>
              <w:pStyle w:val="TableContents"/>
              <w:bidi w:val="0"/>
              <w:spacing w:before="0" w:after="283"/>
              <w:jc w:val="center"/>
              <w:rPr>
                <w:b/>
              </w:rPr>
            </w:pPr>
            <w:r>
              <w:rPr>
                <w:b/>
              </w:rPr>
              <w:t>2026</w:t>
            </w:r>
          </w:p>
        </w:tc>
        <w:tc>
          <w:tcPr>
            <w:tcW w:w="17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94" w:type="dxa"/>
            <w:gridSpan w:val="2"/>
            <w:tcBorders/>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(Expense)</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(1,402</w:t>
            </w:r>
          </w:p>
        </w:tc>
        <w:tc>
          <w:tcPr>
            <w:tcW w:w="19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(1,761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(1,964</w:t>
            </w:r>
          </w:p>
        </w:tc>
        <w:tc>
          <w:tcPr>
            <w:tcW w:w="17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(765</w:t>
            </w:r>
          </w:p>
        </w:tc>
        <w:tc>
          <w:tcPr>
            <w:tcW w:w="161" w:type="dxa"/>
            <w:tcBorders/>
            <w:vAlign w:val="bottom"/>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 – Mutual Fund Gain</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1,334</w:t>
            </w:r>
          </w:p>
        </w:tc>
        <w:tc>
          <w:tcPr>
            <w:tcW w:w="19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1,669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1,268</w:t>
            </w:r>
          </w:p>
        </w:tc>
        <w:tc>
          <w:tcPr>
            <w:tcW w:w="17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1,299</w:t>
            </w:r>
          </w:p>
        </w:tc>
        <w:tc>
          <w:tcPr>
            <w:tcW w:w="161" w:type="dxa"/>
            <w:tcBorders/>
            <w:shd w:fill="CCEEFF" w:val="clear"/>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Total Pre-Tax</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(68</w:t>
            </w:r>
          </w:p>
        </w:tc>
        <w:tc>
          <w:tcPr>
            <w:tcW w:w="19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(696</w:t>
            </w:r>
          </w:p>
        </w:tc>
        <w:tc>
          <w:tcPr>
            <w:tcW w:w="17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534</w:t>
            </w:r>
          </w:p>
        </w:tc>
        <w:tc>
          <w:tcPr>
            <w:tcW w:w="161" w:type="dxa"/>
            <w:tcBorders/>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After-Tax</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(52</w:t>
            </w:r>
          </w:p>
        </w:tc>
        <w:tc>
          <w:tcPr>
            <w:tcW w:w="19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(529</w:t>
            </w:r>
          </w:p>
        </w:tc>
        <w:tc>
          <w:tcPr>
            <w:tcW w:w="17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401</w:t>
            </w:r>
          </w:p>
        </w:tc>
        <w:tc>
          <w:tcPr>
            <w:tcW w:w="161" w:type="dxa"/>
            <w:tcBorders/>
            <w:shd w:fill="CCEEFF" w:val="clear"/>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Effects of Foreign Currency Translation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foreign subsidiaries transact business and report financial results in their respective local currencies. These results are translated into U.S. dollars at average foreign exchange rates appropriate for the reporting period. The table below presents the impact that foreign currency translation had on select income statement line items.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120"/>
        <w:gridCol w:w="195"/>
        <w:gridCol w:w="783"/>
        <w:gridCol w:w="83"/>
        <w:gridCol w:w="167"/>
        <w:gridCol w:w="195"/>
        <w:gridCol w:w="787"/>
        <w:gridCol w:w="60"/>
        <w:gridCol w:w="120"/>
        <w:gridCol w:w="196"/>
        <w:gridCol w:w="619"/>
        <w:gridCol w:w="60"/>
        <w:gridCol w:w="120"/>
        <w:gridCol w:w="289"/>
        <w:gridCol w:w="915"/>
        <w:gridCol w:w="60"/>
        <w:gridCol w:w="120"/>
        <w:gridCol w:w="140"/>
        <w:gridCol w:w="740"/>
        <w:gridCol w:w="155"/>
        <w:gridCol w:w="60"/>
        <w:gridCol w:w="140"/>
        <w:gridCol w:w="740"/>
        <w:gridCol w:w="60"/>
        <w:gridCol w:w="120"/>
        <w:gridCol w:w="163"/>
        <w:gridCol w:w="652"/>
        <w:gridCol w:w="155"/>
        <w:gridCol w:w="60"/>
        <w:gridCol w:w="290"/>
        <w:gridCol w:w="914"/>
        <w:gridCol w:w="73"/>
      </w:tblGrid>
      <w:tr>
        <w:trPr/>
        <w:tc>
          <w:tcPr>
            <w:tcW w:w="8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br/>
              <w:t>Due to</w:t>
              <w:br/>
              <w:t>Foreign</w:t>
              <w:br/>
              <w:t>Currency</w:t>
              <w:br/>
              <w:t>Translation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br/>
              <w:t>Due to</w:t>
              <w:br/>
              <w:t>Foreign</w:t>
              <w:br/>
              <w:t>Currency</w:t>
              <w:br/>
              <w:t>Translation</w:t>
            </w:r>
          </w:p>
        </w:tc>
        <w:tc>
          <w:tcPr>
            <w:tcW w:w="73" w:type="dxa"/>
            <w:tcBorders/>
            <w:vAlign w:val="bottom"/>
          </w:tcPr>
          <w:p>
            <w:pPr>
              <w:pStyle w:val="TableContents"/>
              <w:bidi w:val="0"/>
              <w:spacing w:before="0" w:after="283"/>
              <w:jc w:val="left"/>
              <w:rPr/>
            </w:pPr>
            <w:r>
              <w:rPr/>
              <w:t> </w:t>
            </w:r>
          </w:p>
        </w:tc>
      </w:tr>
      <w:tr>
        <w:trPr/>
        <w:tc>
          <w:tcPr>
            <w:tcW w:w="854" w:type="dxa"/>
            <w:tcBorders/>
            <w:vAlign w:val="bottom"/>
          </w:tcPr>
          <w:p>
            <w:pPr>
              <w:pStyle w:val="TableContents"/>
              <w:bidi w:val="0"/>
              <w:spacing w:before="0" w:after="283"/>
              <w:jc w:val="left"/>
              <w:rPr>
                <w:b/>
                <w:i/>
              </w:rPr>
            </w:pPr>
            <w:r>
              <w:rPr>
                <w:b/>
                <w:i/>
              </w:rPr>
              <w:t>($ in millions)</w:t>
            </w:r>
          </w:p>
        </w:tc>
        <w:tc>
          <w:tcPr>
            <w:tcW w:w="120"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r>
      <w:tr>
        <w:trPr/>
        <w:tc>
          <w:tcPr>
            <w:tcW w:w="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684.1</w:t>
            </w:r>
          </w:p>
        </w:tc>
        <w:tc>
          <w:tcPr>
            <w:tcW w:w="8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594.7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89.4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17.1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1,288.6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1,187.9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100.7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42.4</w:t>
            </w:r>
          </w:p>
        </w:tc>
        <w:tc>
          <w:tcPr>
            <w:tcW w:w="73" w:type="dxa"/>
            <w:tcBorders/>
            <w:shd w:fill="CCEEFF" w:val="clear"/>
            <w:vAlign w:val="bottom"/>
          </w:tcPr>
          <w:p>
            <w:pPr>
              <w:pStyle w:val="TableContents"/>
              <w:bidi w:val="0"/>
              <w:spacing w:before="0" w:after="283"/>
              <w:jc w:val="left"/>
              <w:rPr/>
            </w:pPr>
            <w:r>
              <w:rPr/>
              <w:t> </w:t>
            </w:r>
          </w:p>
        </w:tc>
      </w:tr>
      <w:tr>
        <w:trPr/>
        <w:tc>
          <w:tcPr>
            <w:tcW w:w="854"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100.0</w:t>
            </w:r>
          </w:p>
        </w:tc>
        <w:tc>
          <w:tcPr>
            <w:tcW w:w="8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71.9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28.1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164.8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2" w:type="dxa"/>
            <w:tcBorders/>
            <w:vAlign w:val="bottom"/>
          </w:tcPr>
          <w:p>
            <w:pPr>
              <w:pStyle w:val="TableContents"/>
              <w:bidi w:val="0"/>
              <w:spacing w:before="0" w:after="283"/>
              <w:jc w:val="right"/>
              <w:rPr/>
            </w:pPr>
            <w:r>
              <w:rPr/>
              <w:t>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5.4</w:t>
            </w:r>
          </w:p>
        </w:tc>
        <w:tc>
          <w:tcPr>
            <w:tcW w:w="73" w:type="dxa"/>
            <w:tcBorders/>
            <w:vAlign w:val="bottom"/>
          </w:tcPr>
          <w:p>
            <w:pPr>
              <w:pStyle w:val="TableContents"/>
              <w:bidi w:val="0"/>
              <w:spacing w:before="0" w:after="283"/>
              <w:jc w:val="left"/>
              <w:rPr/>
            </w:pPr>
            <w:r>
              <w:rPr/>
              <w:t> </w:t>
            </w:r>
          </w:p>
        </w:tc>
      </w:tr>
      <w:tr>
        <w:trPr/>
        <w:tc>
          <w:tcPr>
            <w:tcW w:w="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37.2</w:t>
            </w:r>
          </w:p>
        </w:tc>
        <w:tc>
          <w:tcPr>
            <w:tcW w:w="8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18.0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3.4</w:t>
            </w:r>
          </w:p>
        </w:tc>
        <w:tc>
          <w:tcPr>
            <w:tcW w:w="73" w:type="dxa"/>
            <w:tcBorders/>
            <w:shd w:fill="CCEEFF" w:val="clear"/>
            <w:vAlign w:val="bottom"/>
          </w:tcPr>
          <w:p>
            <w:pPr>
              <w:pStyle w:val="TableContents"/>
              <w:bidi w:val="0"/>
              <w:spacing w:before="0" w:after="283"/>
              <w:jc w:val="left"/>
              <w:rPr/>
            </w:pPr>
            <w:r>
              <w:rPr/>
              <w:t> </w:t>
            </w:r>
          </w:p>
        </w:tc>
      </w:tr>
      <w:tr>
        <w:trPr/>
        <w:tc>
          <w:tcPr>
            <w:tcW w:w="854" w:type="dxa"/>
            <w:tcBorders/>
          </w:tcPr>
          <w:p>
            <w:pPr>
              <w:pStyle w:val="TableContents"/>
              <w:bidi w:val="0"/>
              <w:spacing w:before="0" w:after="0"/>
              <w:jc w:val="left"/>
              <w:rPr>
                <w:rFonts w:ascii="Times New Roman" w:hAnsi="Times New Roman"/>
                <w:sz w:val="20"/>
              </w:rPr>
            </w:pPr>
            <w:r>
              <w:rPr>
                <w:rFonts w:ascii="Times New Roman" w:hAnsi="Times New Roman"/>
                <w:sz w:val="20"/>
              </w:rPr>
              <w:t>Pretax Income (Loss)</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32.5</w:t>
            </w:r>
          </w:p>
        </w:tc>
        <w:tc>
          <w:tcPr>
            <w:tcW w:w="8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2" w:type="dxa"/>
            <w:tcBorders/>
            <w:vAlign w:val="bottom"/>
          </w:tcPr>
          <w:p>
            <w:pPr>
              <w:pStyle w:val="TableContents"/>
              <w:bidi w:val="0"/>
              <w:spacing w:before="0" w:after="283"/>
              <w:jc w:val="right"/>
              <w:rPr/>
            </w:pPr>
            <w:r>
              <w:rPr/>
              <w:t>(60.4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3.5</w:t>
            </w:r>
          </w:p>
        </w:tc>
        <w:tc>
          <w:tcPr>
            <w:tcW w:w="7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Corporate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4"/>
        <w:gridCol w:w="174"/>
        <w:gridCol w:w="140"/>
        <w:gridCol w:w="715"/>
        <w:gridCol w:w="60"/>
        <w:gridCol w:w="174"/>
        <w:gridCol w:w="140"/>
        <w:gridCol w:w="715"/>
        <w:gridCol w:w="60"/>
        <w:gridCol w:w="174"/>
        <w:gridCol w:w="104"/>
        <w:gridCol w:w="743"/>
        <w:gridCol w:w="350"/>
        <w:gridCol w:w="119"/>
        <w:gridCol w:w="140"/>
        <w:gridCol w:w="823"/>
        <w:gridCol w:w="60"/>
        <w:gridCol w:w="174"/>
        <w:gridCol w:w="140"/>
        <w:gridCol w:w="715"/>
        <w:gridCol w:w="60"/>
        <w:gridCol w:w="174"/>
        <w:gridCol w:w="104"/>
        <w:gridCol w:w="743"/>
        <w:gridCol w:w="360"/>
      </w:tblGrid>
      <w:tr>
        <w:trPr/>
        <w:tc>
          <w:tcPr>
            <w:tcW w:w="304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04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0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313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360" w:type="dxa"/>
            <w:tcBorders/>
            <w:vAlign w:val="bottom"/>
          </w:tcPr>
          <w:p>
            <w:pPr>
              <w:pStyle w:val="TableContents"/>
              <w:bidi w:val="0"/>
              <w:spacing w:before="0" w:after="283"/>
              <w:jc w:val="left"/>
              <w:rPr/>
            </w:pPr>
            <w:r>
              <w:rPr/>
              <w:t> </w:t>
            </w:r>
          </w:p>
        </w:tc>
      </w:tr>
      <w:tr>
        <w:trPr/>
        <w:tc>
          <w:tcPr>
            <w:tcW w:w="3044" w:type="dxa"/>
            <w:tcBorders/>
            <w:vAlign w:val="bottom"/>
          </w:tcPr>
          <w:p>
            <w:pPr>
              <w:pStyle w:val="TableContents"/>
              <w:bidi w:val="0"/>
              <w:spacing w:before="0" w:after="283"/>
              <w:jc w:val="left"/>
              <w:rPr>
                <w:b/>
                <w:i/>
              </w:rPr>
            </w:pPr>
            <w:r>
              <w:rPr>
                <w:b/>
                <w:i/>
              </w:rPr>
              <w:t>($ in thousands)</w:t>
            </w:r>
          </w:p>
        </w:tc>
        <w:tc>
          <w:tcPr>
            <w:tcW w:w="174"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60" w:type="dxa"/>
            <w:tcBorders/>
            <w:vAlign w:val="bottom"/>
          </w:tcPr>
          <w:p>
            <w:pPr>
              <w:pStyle w:val="TableContents"/>
              <w:bidi w:val="0"/>
              <w:spacing w:before="0" w:after="283"/>
              <w:jc w:val="left"/>
              <w:rPr/>
            </w:pPr>
            <w:r>
              <w:rPr/>
              <w:t> </w:t>
            </w:r>
          </w:p>
        </w:tc>
      </w:tr>
      <w:tr>
        <w:trPr/>
        <w:tc>
          <w:tcPr>
            <w:tcW w:w="30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Corporate Expenses</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24,628</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17,819</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38</w:t>
            </w:r>
          </w:p>
        </w:tc>
        <w:tc>
          <w:tcPr>
            <w:tcW w:w="35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106,335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31,987</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232</w:t>
            </w:r>
          </w:p>
        </w:tc>
        <w:tc>
          <w:tcPr>
            <w:tcW w:w="360" w:type="dxa"/>
            <w:tcBorders/>
            <w:shd w:fill="CCEEFF" w:val="clear"/>
            <w:vAlign w:val="bottom"/>
          </w:tcPr>
          <w:p>
            <w:pPr>
              <w:pStyle w:val="TableContents"/>
              <w:bidi w:val="0"/>
              <w:spacing w:before="0" w:after="283"/>
              <w:jc w:val="left"/>
              <w:rPr/>
            </w:pPr>
            <w:r>
              <w:rPr/>
              <w:t>% </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 Expense</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1,402</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1,761</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(20</w:t>
            </w:r>
          </w:p>
        </w:tc>
        <w:tc>
          <w:tcPr>
            <w:tcW w:w="35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1,964</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765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157</w:t>
            </w:r>
          </w:p>
        </w:tc>
        <w:tc>
          <w:tcPr>
            <w:tcW w:w="360" w:type="dxa"/>
            <w:tcBorders/>
            <w:shd w:fill="CCEEFF" w:val="clear"/>
            <w:vAlign w:val="bottom"/>
          </w:tcPr>
          <w:p>
            <w:pPr>
              <w:pStyle w:val="TableContents"/>
              <w:bidi w:val="0"/>
              <w:spacing w:before="0" w:after="283"/>
              <w:jc w:val="left"/>
              <w:rPr/>
            </w:pPr>
            <w:r>
              <w:rPr/>
              <w:t>% </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Remediation Expense</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121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722</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(83</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223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814</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(73</w:t>
            </w:r>
          </w:p>
        </w:tc>
        <w:tc>
          <w:tcPr>
            <w:tcW w:w="360" w:type="dxa"/>
            <w:tcBorders/>
            <w:vAlign w:val="bottom"/>
          </w:tcPr>
          <w:p>
            <w:pPr>
              <w:pStyle w:val="TableContents"/>
              <w:bidi w:val="0"/>
              <w:spacing w:before="0" w:after="283"/>
              <w:jc w:val="left"/>
              <w:rPr/>
            </w:pPr>
            <w:r>
              <w:rPr/>
              <w:t>)% </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Restructuring</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5,106</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NM</w:t>
            </w:r>
          </w:p>
        </w:tc>
        <w:tc>
          <w:tcPr>
            <w:tcW w:w="35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70,545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NM</w:t>
            </w:r>
          </w:p>
        </w:tc>
        <w:tc>
          <w:tcPr>
            <w:tcW w:w="360" w:type="dxa"/>
            <w:tcBorders/>
            <w:shd w:fill="CCEEFF" w:val="clear"/>
            <w:vAlign w:val="bottom"/>
          </w:tcPr>
          <w:p>
            <w:pPr>
              <w:pStyle w:val="TableContents"/>
              <w:bidi w:val="0"/>
              <w:spacing w:before="0" w:after="283"/>
              <w:jc w:val="left"/>
              <w:rPr/>
            </w:pPr>
            <w:r>
              <w:rPr/>
              <w:t> </w:t>
            </w:r>
          </w:p>
        </w:tc>
      </w:tr>
      <w:tr>
        <w:trPr/>
        <w:tc>
          <w:tcPr>
            <w:tcW w:w="304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60" w:type="dxa"/>
            <w:tcBorders/>
            <w:vAlign w:val="center"/>
          </w:tcPr>
          <w:p>
            <w:pPr>
              <w:pStyle w:val="TableContents"/>
              <w:bidi w:val="0"/>
              <w:spacing w:before="0" w:after="283"/>
              <w:jc w:val="left"/>
              <w:rPr/>
            </w:pPr>
            <w:r>
              <w:rPr/>
              <w:t> </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Adjusted Corporate Expenses</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17,999</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15,336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17</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33,603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30,408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11</w:t>
            </w:r>
          </w:p>
        </w:tc>
        <w:tc>
          <w:tcPr>
            <w:tcW w:w="360" w:type="dxa"/>
            <w:tcBorders/>
            <w:vAlign w:val="bottom"/>
          </w:tcPr>
          <w:p>
            <w:pPr>
              <w:pStyle w:val="TableContents"/>
              <w:bidi w:val="0"/>
              <w:spacing w:before="0" w:after="283"/>
              <w:jc w:val="left"/>
              <w:rPr/>
            </w:pPr>
            <w:r>
              <w:rPr/>
              <w:t>% </w:t>
            </w:r>
          </w:p>
        </w:tc>
      </w:tr>
      <w:tr>
        <w:trPr/>
        <w:tc>
          <w:tcPr>
            <w:tcW w:w="304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Corporate expenses increased $2.7 million, or 17% for the quarter. This increase was primarily due to higher incentive-based compensation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Table V </w:t>
      </w:r>
    </w:p>
    <w:p>
      <w:pPr>
        <w:pStyle w:val="TextBody"/>
        <w:bidi w:val="0"/>
        <w:spacing w:before="240" w:after="0"/>
        <w:jc w:val="center"/>
        <w:rPr>
          <w:rFonts w:ascii="Times New Roman" w:hAnsi="Times New Roman"/>
          <w:b/>
          <w:sz w:val="20"/>
        </w:rPr>
      </w:pPr>
      <w:r>
        <w:rPr>
          <w:rFonts w:ascii="Times New Roman" w:hAnsi="Times New Roman"/>
          <w:b/>
          <w:sz w:val="20"/>
        </w:rPr>
        <w:t xml:space="preserve">Stepan Company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2026 and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7"/>
        <w:gridCol w:w="224"/>
        <w:gridCol w:w="140"/>
        <w:gridCol w:w="1076"/>
        <w:gridCol w:w="60"/>
        <w:gridCol w:w="224"/>
        <w:gridCol w:w="176"/>
        <w:gridCol w:w="1243"/>
        <w:gridCol w:w="65"/>
      </w:tblGrid>
      <w:tr>
        <w:trPr/>
        <w:tc>
          <w:tcPr>
            <w:tcW w:w="6997"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99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6997"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9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974,764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858,959</w:t>
            </w:r>
          </w:p>
        </w:tc>
        <w:tc>
          <w:tcPr>
            <w:tcW w:w="65" w:type="dxa"/>
            <w:tcBorders/>
            <w:vAlign w:val="bottom"/>
          </w:tcPr>
          <w:p>
            <w:pPr>
              <w:pStyle w:val="TableContents"/>
              <w:bidi w:val="0"/>
              <w:spacing w:before="0" w:after="283"/>
              <w:jc w:val="left"/>
              <w:rPr/>
            </w:pPr>
            <w:r>
              <w:rPr/>
              <w:t> </w:t>
            </w:r>
          </w:p>
        </w:tc>
      </w:tr>
      <w:tr>
        <w:trPr/>
        <w:tc>
          <w:tcPr>
            <w:tcW w:w="69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Property, Plant &amp; Equipment, Net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1,142,612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1,219,627</w:t>
            </w:r>
          </w:p>
        </w:tc>
        <w:tc>
          <w:tcPr>
            <w:tcW w:w="65" w:type="dxa"/>
            <w:tcBorders/>
            <w:shd w:fill="CCEEFF" w:val="clear"/>
            <w:vAlign w:val="bottom"/>
          </w:tcPr>
          <w:p>
            <w:pPr>
              <w:pStyle w:val="TableContents"/>
              <w:bidi w:val="0"/>
              <w:spacing w:before="0" w:after="283"/>
              <w:jc w:val="left"/>
              <w:rPr/>
            </w:pPr>
            <w:r>
              <w:rPr/>
              <w:t> </w:t>
            </w:r>
          </w:p>
        </w:tc>
      </w:tr>
      <w:tr>
        <w:trPr/>
        <w:tc>
          <w:tcPr>
            <w:tcW w:w="69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275,290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279,116</w:t>
            </w:r>
          </w:p>
        </w:tc>
        <w:tc>
          <w:tcPr>
            <w:tcW w:w="65" w:type="dxa"/>
            <w:tcBorders/>
            <w:vAlign w:val="bottom"/>
          </w:tcPr>
          <w:p>
            <w:pPr>
              <w:pStyle w:val="TableContents"/>
              <w:bidi w:val="0"/>
              <w:spacing w:before="0" w:after="283"/>
              <w:jc w:val="left"/>
              <w:rPr/>
            </w:pPr>
            <w:r>
              <w:rPr/>
              <w:t> </w:t>
            </w:r>
          </w:p>
        </w:tc>
      </w:tr>
      <w:tr>
        <w:trPr/>
        <w:tc>
          <w:tcPr>
            <w:tcW w:w="699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9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2,392,666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2,357,702</w:t>
            </w:r>
          </w:p>
        </w:tc>
        <w:tc>
          <w:tcPr>
            <w:tcW w:w="65" w:type="dxa"/>
            <w:tcBorders/>
            <w:shd w:fill="CCEEFF" w:val="clear"/>
            <w:vAlign w:val="bottom"/>
          </w:tcPr>
          <w:p>
            <w:pPr>
              <w:pStyle w:val="TableContents"/>
              <w:bidi w:val="0"/>
              <w:spacing w:before="0" w:after="283"/>
              <w:jc w:val="left"/>
              <w:rPr/>
            </w:pPr>
            <w:r>
              <w:rPr/>
              <w:t> </w:t>
            </w:r>
          </w:p>
        </w:tc>
      </w:tr>
      <w:tr>
        <w:trPr/>
        <w:tc>
          <w:tcPr>
            <w:tcW w:w="699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997"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 AND STOCKHOLDERS’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9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846,998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666,494</w:t>
            </w:r>
          </w:p>
        </w:tc>
        <w:tc>
          <w:tcPr>
            <w:tcW w:w="65" w:type="dxa"/>
            <w:tcBorders/>
            <w:shd w:fill="CCEEFF" w:val="clear"/>
            <w:vAlign w:val="bottom"/>
          </w:tcPr>
          <w:p>
            <w:pPr>
              <w:pStyle w:val="TableContents"/>
              <w:bidi w:val="0"/>
              <w:spacing w:before="0" w:after="283"/>
              <w:jc w:val="left"/>
              <w:rPr/>
            </w:pPr>
            <w:r>
              <w:rPr/>
              <w:t> </w:t>
            </w:r>
          </w:p>
        </w:tc>
      </w:tr>
      <w:tr>
        <w:trPr/>
        <w:tc>
          <w:tcPr>
            <w:tcW w:w="69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10,998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11,450</w:t>
            </w:r>
          </w:p>
        </w:tc>
        <w:tc>
          <w:tcPr>
            <w:tcW w:w="65" w:type="dxa"/>
            <w:tcBorders/>
            <w:vAlign w:val="bottom"/>
          </w:tcPr>
          <w:p>
            <w:pPr>
              <w:pStyle w:val="TableContents"/>
              <w:bidi w:val="0"/>
              <w:spacing w:before="0" w:after="283"/>
              <w:jc w:val="left"/>
              <w:rPr/>
            </w:pPr>
            <w:r>
              <w:rPr/>
              <w:t> </w:t>
            </w:r>
          </w:p>
        </w:tc>
      </w:tr>
      <w:tr>
        <w:trPr/>
        <w:tc>
          <w:tcPr>
            <w:tcW w:w="69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244,069</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340,975</w:t>
            </w:r>
          </w:p>
        </w:tc>
        <w:tc>
          <w:tcPr>
            <w:tcW w:w="65" w:type="dxa"/>
            <w:tcBorders/>
            <w:shd w:fill="CCEEFF" w:val="clear"/>
            <w:vAlign w:val="bottom"/>
          </w:tcPr>
          <w:p>
            <w:pPr>
              <w:pStyle w:val="TableContents"/>
              <w:bidi w:val="0"/>
              <w:spacing w:before="0" w:after="283"/>
              <w:jc w:val="left"/>
              <w:rPr/>
            </w:pPr>
            <w:r>
              <w:rPr/>
              <w:t> </w:t>
            </w:r>
          </w:p>
        </w:tc>
      </w:tr>
      <w:tr>
        <w:trPr/>
        <w:tc>
          <w:tcPr>
            <w:tcW w:w="69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78,555</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94,773</w:t>
            </w:r>
          </w:p>
        </w:tc>
        <w:tc>
          <w:tcPr>
            <w:tcW w:w="65" w:type="dxa"/>
            <w:tcBorders/>
            <w:vAlign w:val="bottom"/>
          </w:tcPr>
          <w:p>
            <w:pPr>
              <w:pStyle w:val="TableContents"/>
              <w:bidi w:val="0"/>
              <w:spacing w:before="0" w:after="283"/>
              <w:jc w:val="left"/>
              <w:rPr/>
            </w:pPr>
            <w:r>
              <w:rPr/>
              <w:t> </w:t>
            </w:r>
          </w:p>
        </w:tc>
      </w:tr>
      <w:tr>
        <w:trPr/>
        <w:tc>
          <w:tcPr>
            <w:tcW w:w="69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Stepan Company Stockholders’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1,212,046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1,244,010</w:t>
            </w:r>
          </w:p>
        </w:tc>
        <w:tc>
          <w:tcPr>
            <w:tcW w:w="65" w:type="dxa"/>
            <w:tcBorders/>
            <w:shd w:fill="CCEEFF" w:val="clear"/>
            <w:vAlign w:val="bottom"/>
          </w:tcPr>
          <w:p>
            <w:pPr>
              <w:pStyle w:val="TableContents"/>
              <w:bidi w:val="0"/>
              <w:spacing w:before="0" w:after="283"/>
              <w:jc w:val="left"/>
              <w:rPr/>
            </w:pPr>
            <w:r>
              <w:rPr/>
              <w:t> </w:t>
            </w:r>
          </w:p>
        </w:tc>
      </w:tr>
      <w:tr>
        <w:trPr/>
        <w:tc>
          <w:tcPr>
            <w:tcW w:w="699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9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2,392,666</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2,357,702</w:t>
            </w:r>
          </w:p>
        </w:tc>
        <w:tc>
          <w:tcPr>
            <w:tcW w:w="65" w:type="dxa"/>
            <w:tcBorders/>
            <w:vAlign w:val="bottom"/>
          </w:tcPr>
          <w:p>
            <w:pPr>
              <w:pStyle w:val="TableContents"/>
              <w:bidi w:val="0"/>
              <w:spacing w:before="0" w:after="283"/>
              <w:jc w:val="left"/>
              <w:rPr/>
            </w:pPr>
            <w:r>
              <w:rPr/>
              <w:t> </w:t>
            </w:r>
          </w:p>
        </w:tc>
      </w:tr>
      <w:tr>
        <w:trPr/>
        <w:tc>
          <w:tcPr>
            <w:tcW w:w="699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b/>
          <w:sz w:val="20"/>
        </w:rPr>
        <w:t>Selected Balance Sheet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Company’s total debt decreased by $4.3 million and cash decreased by $27.1 million versus March 31, 2026. The Company’s net debt level increased $22.8 million versus March 31, 2026 and its net debt ratio was 31% versus 30% in the prior quarter (</w:t>
      </w:r>
      <w:r>
        <w:rPr>
          <w:rFonts w:ascii="Times New Roman" w:hAnsi="Times New Roman"/>
          <w:i/>
          <w:sz w:val="20"/>
        </w:rPr>
        <w:t>Net Debt</w:t>
      </w:r>
      <w:r>
        <w:rPr>
          <w:rFonts w:ascii="Times New Roman" w:hAnsi="Times New Roman"/>
          <w:sz w:val="20"/>
        </w:rPr>
        <w:t xml:space="preserve"> and </w:t>
      </w:r>
      <w:r>
        <w:rPr>
          <w:rFonts w:ascii="Times New Roman" w:hAnsi="Times New Roman"/>
          <w:i/>
          <w:sz w:val="20"/>
        </w:rPr>
        <w:t>Net Debt Ratio</w:t>
      </w:r>
      <w:r>
        <w:rPr>
          <w:rFonts w:ascii="Times New Roman" w:hAnsi="Times New Roman"/>
          <w:sz w:val="20"/>
        </w:rPr>
        <w:t xml:space="preserve"> are non-GAAP measures, reconciliations of which are shown in the table below). Management uses the non-GAAP net debt metric to show a more complete picture of the Company’s overall liquidity, financial flexibility and leverage level.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2"/>
        <w:gridCol w:w="280"/>
        <w:gridCol w:w="140"/>
        <w:gridCol w:w="740"/>
        <w:gridCol w:w="275"/>
        <w:gridCol w:w="229"/>
        <w:gridCol w:w="170"/>
        <w:gridCol w:w="934"/>
        <w:gridCol w:w="275"/>
        <w:gridCol w:w="229"/>
        <w:gridCol w:w="225"/>
        <w:gridCol w:w="1237"/>
        <w:gridCol w:w="279"/>
      </w:tblGrid>
      <w:tr>
        <w:trPr/>
        <w:tc>
          <w:tcPr>
            <w:tcW w:w="5192"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192" w:type="dxa"/>
            <w:tcBorders/>
            <w:vAlign w:val="bottom"/>
          </w:tcPr>
          <w:p>
            <w:pPr>
              <w:pStyle w:val="TableContents"/>
              <w:bidi w:val="0"/>
              <w:spacing w:before="0" w:after="283"/>
              <w:jc w:val="left"/>
              <w:rPr>
                <w:i/>
              </w:rPr>
            </w:pPr>
            <w:r>
              <w:rPr>
                <w:i/>
              </w:rPr>
              <w:t>($ in millions)</w:t>
            </w:r>
          </w:p>
        </w:tc>
        <w:tc>
          <w:tcPr>
            <w:tcW w:w="28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9" w:type="dxa"/>
            <w:tcBorders/>
            <w:vAlign w:val="bottom"/>
          </w:tcPr>
          <w:p>
            <w:pPr>
              <w:pStyle w:val="TableContents"/>
              <w:bidi w:val="0"/>
              <w:spacing w:before="0" w:after="283"/>
              <w:jc w:val="left"/>
              <w:rPr/>
            </w:pPr>
            <w:r>
              <w:rPr/>
              <w:t> </w:t>
            </w:r>
          </w:p>
        </w:tc>
      </w:tr>
      <w:tr>
        <w:trPr/>
        <w:tc>
          <w:tcPr>
            <w:tcW w:w="5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Debt</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5192"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647.4</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651.7</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626.7</w:t>
            </w:r>
          </w:p>
        </w:tc>
        <w:tc>
          <w:tcPr>
            <w:tcW w:w="279" w:type="dxa"/>
            <w:tcBorders/>
            <w:vAlign w:val="bottom"/>
          </w:tcPr>
          <w:p>
            <w:pPr>
              <w:pStyle w:val="TableContents"/>
              <w:bidi w:val="0"/>
              <w:spacing w:before="0" w:after="283"/>
              <w:jc w:val="left"/>
              <w:rPr/>
            </w:pPr>
            <w:r>
              <w:rPr/>
              <w:t> </w:t>
            </w:r>
          </w:p>
        </w:tc>
      </w:tr>
      <w:tr>
        <w:trPr/>
        <w:tc>
          <w:tcPr>
            <w:tcW w:w="5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113.7</w:t>
            </w:r>
          </w:p>
        </w:tc>
        <w:tc>
          <w:tcPr>
            <w:tcW w:w="27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140.8</w:t>
            </w:r>
          </w:p>
        </w:tc>
        <w:tc>
          <w:tcPr>
            <w:tcW w:w="27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132.7</w:t>
            </w:r>
          </w:p>
        </w:tc>
        <w:tc>
          <w:tcPr>
            <w:tcW w:w="279" w:type="dxa"/>
            <w:tcBorders/>
            <w:shd w:fill="CCEEFF" w:val="clear"/>
            <w:vAlign w:val="bottom"/>
          </w:tcPr>
          <w:p>
            <w:pPr>
              <w:pStyle w:val="TableContents"/>
              <w:bidi w:val="0"/>
              <w:spacing w:before="0" w:after="283"/>
              <w:jc w:val="left"/>
              <w:rPr/>
            </w:pPr>
            <w:r>
              <w:rPr/>
              <w:t> </w:t>
            </w:r>
          </w:p>
        </w:tc>
      </w:tr>
      <w:tr>
        <w:trPr/>
        <w:tc>
          <w:tcPr>
            <w:tcW w:w="519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192" w:type="dxa"/>
            <w:tcBorders/>
          </w:tcPr>
          <w:p>
            <w:pPr>
              <w:pStyle w:val="TableContents"/>
              <w:bidi w:val="0"/>
              <w:spacing w:before="0" w:after="0"/>
              <w:jc w:val="left"/>
              <w:rPr>
                <w:rFonts w:ascii="Times New Roman" w:hAnsi="Times New Roman"/>
                <w:sz w:val="20"/>
              </w:rPr>
            </w:pPr>
            <w:r>
              <w:rPr>
                <w:rFonts w:ascii="Times New Roman" w:hAnsi="Times New Roman"/>
                <w:sz w:val="20"/>
              </w:rPr>
              <w:t>Net Debt</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533.7</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510.9</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494.0</w:t>
            </w:r>
          </w:p>
        </w:tc>
        <w:tc>
          <w:tcPr>
            <w:tcW w:w="279" w:type="dxa"/>
            <w:tcBorders/>
            <w:vAlign w:val="bottom"/>
          </w:tcPr>
          <w:p>
            <w:pPr>
              <w:pStyle w:val="TableContents"/>
              <w:bidi w:val="0"/>
              <w:spacing w:before="0" w:after="283"/>
              <w:jc w:val="left"/>
              <w:rPr/>
            </w:pPr>
            <w:r>
              <w:rPr/>
              <w:t> </w:t>
            </w:r>
          </w:p>
        </w:tc>
      </w:tr>
      <w:tr>
        <w:trPr/>
        <w:tc>
          <w:tcPr>
            <w:tcW w:w="5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1,212.0</w:t>
            </w:r>
          </w:p>
        </w:tc>
        <w:tc>
          <w:tcPr>
            <w:tcW w:w="27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1,193.0</w:t>
            </w:r>
          </w:p>
        </w:tc>
        <w:tc>
          <w:tcPr>
            <w:tcW w:w="27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1,244.0</w:t>
            </w:r>
          </w:p>
        </w:tc>
        <w:tc>
          <w:tcPr>
            <w:tcW w:w="279" w:type="dxa"/>
            <w:tcBorders/>
            <w:shd w:fill="CCEEFF" w:val="clear"/>
            <w:vAlign w:val="bottom"/>
          </w:tcPr>
          <w:p>
            <w:pPr>
              <w:pStyle w:val="TableContents"/>
              <w:bidi w:val="0"/>
              <w:spacing w:before="0" w:after="283"/>
              <w:jc w:val="left"/>
              <w:rPr/>
            </w:pPr>
            <w:r>
              <w:rPr/>
              <w:t> </w:t>
            </w:r>
          </w:p>
        </w:tc>
      </w:tr>
      <w:tr>
        <w:trPr/>
        <w:tc>
          <w:tcPr>
            <w:tcW w:w="519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1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Debt + Equity</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1,745.7</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1,703.9</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1,738.0</w:t>
            </w:r>
          </w:p>
        </w:tc>
        <w:tc>
          <w:tcPr>
            <w:tcW w:w="279" w:type="dxa"/>
            <w:tcBorders/>
            <w:vAlign w:val="bottom"/>
          </w:tcPr>
          <w:p>
            <w:pPr>
              <w:pStyle w:val="TableContents"/>
              <w:bidi w:val="0"/>
              <w:spacing w:before="0" w:after="283"/>
              <w:jc w:val="left"/>
              <w:rPr/>
            </w:pPr>
            <w:r>
              <w:rPr/>
              <w:t> </w:t>
            </w:r>
          </w:p>
        </w:tc>
      </w:tr>
      <w:tr>
        <w:trPr/>
        <w:tc>
          <w:tcPr>
            <w:tcW w:w="519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Debt / (Net Debt + Equity)</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28</w:t>
            </w:r>
          </w:p>
        </w:tc>
        <w:tc>
          <w:tcPr>
            <w:tcW w:w="279" w:type="dxa"/>
            <w:tcBorders/>
            <w:shd w:fill="CCEEFF" w:val="clear"/>
            <w:vAlign w:val="bottom"/>
          </w:tcPr>
          <w:p>
            <w:pPr>
              <w:pStyle w:val="TableContents"/>
              <w:bidi w:val="0"/>
              <w:spacing w:before="0" w:after="283"/>
              <w:jc w:val="left"/>
              <w:rPr/>
            </w:pPr>
            <w:r>
              <w:rPr/>
              <w:t>% </w:t>
            </w:r>
          </w:p>
        </w:tc>
      </w:tr>
      <w:tr>
        <w:trPr/>
        <w:tc>
          <w:tcPr>
            <w:tcW w:w="519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major working capital components were: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05"/>
        <w:gridCol w:w="222"/>
        <w:gridCol w:w="158"/>
        <w:gridCol w:w="718"/>
        <w:gridCol w:w="155"/>
        <w:gridCol w:w="173"/>
        <w:gridCol w:w="193"/>
        <w:gridCol w:w="912"/>
        <w:gridCol w:w="155"/>
        <w:gridCol w:w="173"/>
        <w:gridCol w:w="273"/>
        <w:gridCol w:w="1209"/>
        <w:gridCol w:w="159"/>
      </w:tblGrid>
      <w:tr>
        <w:trPr/>
        <w:tc>
          <w:tcPr>
            <w:tcW w:w="570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5" w:type="dxa"/>
            <w:tcBorders/>
            <w:vAlign w:val="bottom"/>
          </w:tcPr>
          <w:p>
            <w:pPr>
              <w:pStyle w:val="TableContents"/>
              <w:bidi w:val="0"/>
              <w:spacing w:before="0" w:after="283"/>
              <w:jc w:val="left"/>
              <w:rPr>
                <w:i/>
              </w:rPr>
            </w:pPr>
            <w:r>
              <w:rPr>
                <w:i/>
              </w:rPr>
              <w:t>($ in millions)</w:t>
            </w:r>
          </w:p>
        </w:tc>
        <w:tc>
          <w:tcPr>
            <w:tcW w:w="222"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9"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Receivables</w:t>
            </w:r>
          </w:p>
        </w:tc>
        <w:tc>
          <w:tcPr>
            <w:tcW w:w="22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492.3</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433.7</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388.0</w:t>
            </w:r>
          </w:p>
        </w:tc>
        <w:tc>
          <w:tcPr>
            <w:tcW w:w="159"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324.5</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289.0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298.8</w:t>
            </w:r>
          </w:p>
        </w:tc>
        <w:tc>
          <w:tcPr>
            <w:tcW w:w="159"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(321.7</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(285.7</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(261.7</w:t>
            </w:r>
          </w:p>
        </w:tc>
        <w:tc>
          <w:tcPr>
            <w:tcW w:w="159" w:type="dxa"/>
            <w:tcBorders/>
            <w:shd w:fill="CCEEFF" w:val="clear"/>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05" w:type="dxa"/>
            <w:tcBorders/>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18" w:type="dxa"/>
            <w:tcBorders/>
            <w:vAlign w:val="bottom"/>
          </w:tcPr>
          <w:p>
            <w:pPr>
              <w:pStyle w:val="TableContents"/>
              <w:bidi w:val="0"/>
              <w:spacing w:before="0" w:after="283"/>
              <w:jc w:val="right"/>
              <w:rPr/>
            </w:pPr>
            <w:r>
              <w:rPr/>
              <w:t>495.1</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437.0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425.1</w:t>
            </w:r>
          </w:p>
        </w:tc>
        <w:tc>
          <w:tcPr>
            <w:tcW w:w="159" w:type="dxa"/>
            <w:tcBorders/>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Table VI </w:t>
      </w:r>
    </w:p>
    <w:p>
      <w:pPr>
        <w:pStyle w:val="TextBody"/>
        <w:bidi w:val="0"/>
        <w:spacing w:before="240" w:after="0"/>
        <w:jc w:val="center"/>
        <w:rPr>
          <w:rFonts w:ascii="Times New Roman" w:hAnsi="Times New Roman"/>
          <w:b/>
          <w:sz w:val="20"/>
        </w:rPr>
      </w:pPr>
      <w:r>
        <w:rPr>
          <w:rFonts w:ascii="Times New Roman" w:hAnsi="Times New Roman"/>
          <w:b/>
          <w:sz w:val="20"/>
        </w:rPr>
        <w:t xml:space="preserve">Reconciliations of Non-GAAP EBITDA and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Management uses the non-GAAP EBITDA and adjusted EBITDA metrics to evaluate the Company’s operating performance. Management excludes the items listed in the table below because they are non-operational items. Refer to the Income Statement on Table I for a bridge between Operating Income and Net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6"/>
        <w:gridCol w:w="226"/>
        <w:gridCol w:w="287"/>
        <w:gridCol w:w="926"/>
        <w:gridCol w:w="60"/>
        <w:gridCol w:w="226"/>
        <w:gridCol w:w="232"/>
        <w:gridCol w:w="734"/>
        <w:gridCol w:w="60"/>
        <w:gridCol w:w="226"/>
        <w:gridCol w:w="251"/>
        <w:gridCol w:w="687"/>
        <w:gridCol w:w="60"/>
        <w:gridCol w:w="226"/>
        <w:gridCol w:w="262"/>
        <w:gridCol w:w="993"/>
        <w:gridCol w:w="155"/>
        <w:gridCol w:w="168"/>
        <w:gridCol w:w="327"/>
        <w:gridCol w:w="1047"/>
        <w:gridCol w:w="66"/>
      </w:tblGrid>
      <w:tr>
        <w:trPr/>
        <w:tc>
          <w:tcPr>
            <w:tcW w:w="2986"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927" w:type="dxa"/>
            <w:gridSpan w:val="18"/>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 2026</w:t>
            </w:r>
          </w:p>
        </w:tc>
        <w:tc>
          <w:tcPr>
            <w:tcW w:w="66"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pPr>
            <w:r>
              <w:rPr>
                <w:i/>
              </w:rPr>
              <w:t>($ in millions)</w:t>
            </w:r>
            <w:r>
              <w:rPr/>
              <w:t xml:space="preserve"> </w:t>
            </w:r>
          </w:p>
        </w:tc>
        <w:tc>
          <w:tcPr>
            <w:tcW w:w="226"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Surfactants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Polymers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Specialty</w:t>
              <w:br/>
              <w:t>Products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Unallocated</w:t>
              <w:br/>
              <w:t>Corporate</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66"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34.4</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(24.6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37.2</w:t>
            </w:r>
          </w:p>
        </w:tc>
        <w:tc>
          <w:tcPr>
            <w:tcW w:w="66"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20.5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30.9</w:t>
            </w:r>
          </w:p>
        </w:tc>
        <w:tc>
          <w:tcPr>
            <w:tcW w:w="66"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 Income</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1.0</w:t>
            </w:r>
          </w:p>
        </w:tc>
        <w:tc>
          <w:tcPr>
            <w:tcW w:w="66" w:type="dxa"/>
            <w:tcBorders/>
            <w:shd w:fill="CCEEFF" w:val="clear"/>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7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7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69.1</w:t>
            </w:r>
          </w:p>
        </w:tc>
        <w:tc>
          <w:tcPr>
            <w:tcW w:w="66"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6"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Remediation</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6"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Restructuring</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5.1</w:t>
            </w:r>
          </w:p>
        </w:tc>
        <w:tc>
          <w:tcPr>
            <w:tcW w:w="66" w:type="dxa"/>
            <w:tcBorders/>
            <w:shd w:fill="CCEEFF" w:val="clear"/>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54.9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687"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74.4</w:t>
            </w:r>
          </w:p>
        </w:tc>
        <w:tc>
          <w:tcPr>
            <w:tcW w:w="66"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24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0"/>
            <w:tcBorders/>
            <w:vAlign w:val="center"/>
          </w:tcPr>
          <w:p>
            <w:pPr>
              <w:pStyle w:val="TableContents"/>
              <w:bidi w:val="0"/>
              <w:spacing w:before="0" w:after="283"/>
              <w:jc w:val="left"/>
              <w:rPr>
                <w:sz w:val="4"/>
                <w:szCs w:val="4"/>
              </w:rPr>
            </w:pPr>
            <w:r>
              <w:rPr>
                <w:sz w:val="4"/>
                <w:szCs w:val="4"/>
              </w:rPr>
            </w:r>
          </w:p>
        </w:tc>
      </w:tr>
      <w:tr>
        <w:trPr/>
        <w:tc>
          <w:tcPr>
            <w:tcW w:w="298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927" w:type="dxa"/>
            <w:gridSpan w:val="18"/>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 2025</w:t>
            </w:r>
          </w:p>
        </w:tc>
        <w:tc>
          <w:tcPr>
            <w:tcW w:w="66"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pPr>
            <w:r>
              <w:rPr>
                <w:i/>
              </w:rPr>
              <w:t>($ in millions)</w:t>
            </w:r>
            <w:r>
              <w:rPr/>
              <w:t xml:space="preserve"> </w:t>
            </w:r>
          </w:p>
        </w:tc>
        <w:tc>
          <w:tcPr>
            <w:tcW w:w="226"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Surfactants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Polymers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Specialty</w:t>
              <w:br/>
              <w:t>Products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Unallocated</w:t>
              <w:br/>
              <w:t>Corporate</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66"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13.4</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17.2</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(17.8</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18.0</w:t>
            </w:r>
          </w:p>
        </w:tc>
        <w:tc>
          <w:tcPr>
            <w:tcW w:w="66"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21.1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31.3</w:t>
            </w:r>
          </w:p>
        </w:tc>
        <w:tc>
          <w:tcPr>
            <w:tcW w:w="66"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 Income</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1.3</w:t>
            </w:r>
          </w:p>
        </w:tc>
        <w:tc>
          <w:tcPr>
            <w:tcW w:w="66" w:type="dxa"/>
            <w:tcBorders/>
            <w:shd w:fill="CCEEFF" w:val="clear"/>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7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7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50.6</w:t>
            </w:r>
          </w:p>
        </w:tc>
        <w:tc>
          <w:tcPr>
            <w:tcW w:w="66"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6"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Remediation</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0.7</w:t>
            </w:r>
          </w:p>
        </w:tc>
        <w:tc>
          <w:tcPr>
            <w:tcW w:w="66"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34.5</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25.6</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(15.4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51.4</w:t>
            </w:r>
          </w:p>
        </w:tc>
        <w:tc>
          <w:tcPr>
            <w:tcW w:w="66" w:type="dxa"/>
            <w:tcBorders/>
            <w:shd w:fill="CCEEFF" w:val="clear"/>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27"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9"/>
        <w:gridCol w:w="226"/>
        <w:gridCol w:w="287"/>
        <w:gridCol w:w="904"/>
        <w:gridCol w:w="60"/>
        <w:gridCol w:w="226"/>
        <w:gridCol w:w="232"/>
        <w:gridCol w:w="745"/>
        <w:gridCol w:w="60"/>
        <w:gridCol w:w="226"/>
        <w:gridCol w:w="225"/>
        <w:gridCol w:w="723"/>
        <w:gridCol w:w="60"/>
        <w:gridCol w:w="226"/>
        <w:gridCol w:w="223"/>
        <w:gridCol w:w="1034"/>
        <w:gridCol w:w="155"/>
        <w:gridCol w:w="169"/>
        <w:gridCol w:w="271"/>
        <w:gridCol w:w="1103"/>
        <w:gridCol w:w="161"/>
      </w:tblGrid>
      <w:tr>
        <w:trPr/>
        <w:tc>
          <w:tcPr>
            <w:tcW w:w="288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929" w:type="dxa"/>
            <w:gridSpan w:val="18"/>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 2026</w:t>
            </w:r>
          </w:p>
        </w:tc>
        <w:tc>
          <w:tcPr>
            <w:tcW w:w="161" w:type="dxa"/>
            <w:tcBorders/>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pPr>
            <w:r>
              <w:rPr>
                <w:i/>
              </w:rPr>
              <w:t>($ in millions)</w:t>
            </w:r>
            <w:r>
              <w:rPr/>
              <w:t xml:space="preserve"> </w:t>
            </w:r>
          </w:p>
        </w:tc>
        <w:tc>
          <w:tcPr>
            <w:tcW w:w="226"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Surfactants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Polymers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Specialty</w:t>
              <w:br/>
              <w:t>Products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Unallocated</w:t>
              <w:br/>
              <w:t>Corporate</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161"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52.9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31.3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(106.3</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(12.4</w:t>
            </w:r>
          </w:p>
        </w:tc>
        <w:tc>
          <w:tcPr>
            <w:tcW w:w="161" w:type="dxa"/>
            <w:tcBorders/>
            <w:shd w:fill="CCEEFF" w:val="clear"/>
            <w:vAlign w:val="bottom"/>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43.1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17.3</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63.9</w:t>
            </w:r>
          </w:p>
        </w:tc>
        <w:tc>
          <w:tcPr>
            <w:tcW w:w="161"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 Income</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w:t>
            </w:r>
          </w:p>
        </w:tc>
        <w:tc>
          <w:tcPr>
            <w:tcW w:w="161" w:type="dxa"/>
            <w:tcBorders/>
            <w:shd w:fill="CCEEFF" w:val="clear"/>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52.7</w:t>
            </w:r>
          </w:p>
        </w:tc>
        <w:tc>
          <w:tcPr>
            <w:tcW w:w="161"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0.7</w:t>
            </w:r>
          </w:p>
        </w:tc>
        <w:tc>
          <w:tcPr>
            <w:tcW w:w="161" w:type="dxa"/>
            <w:tcBorders/>
            <w:shd w:fill="CCEEFF" w:val="clear"/>
            <w:vAlign w:val="bottom"/>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Remediation</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Restructuring</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70.5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70.5</w:t>
            </w:r>
          </w:p>
        </w:tc>
        <w:tc>
          <w:tcPr>
            <w:tcW w:w="161" w:type="dxa"/>
            <w:tcBorders/>
            <w:shd w:fill="CCEEFF" w:val="clear"/>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96.0</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48.6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124.1</w:t>
            </w:r>
          </w:p>
        </w:tc>
        <w:tc>
          <w:tcPr>
            <w:tcW w:w="161" w:type="dxa"/>
            <w:tcBorders/>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240" w:hRule="atLeast"/>
        </w:trPr>
        <w:tc>
          <w:tcPr>
            <w:tcW w:w="2889" w:type="dxa"/>
            <w:tcBorders/>
            <w:vAlign w:val="center"/>
          </w:tcPr>
          <w:p>
            <w:pPr>
              <w:pStyle w:val="TableContents"/>
              <w:bidi w:val="0"/>
              <w:spacing w:before="0" w:after="283"/>
              <w:jc w:val="left"/>
              <w:rPr>
                <w:sz w:val="4"/>
                <w:szCs w:val="4"/>
              </w:rPr>
            </w:pPr>
            <w:r>
              <w:rPr>
                <w:sz w:val="4"/>
                <w:szCs w:val="4"/>
              </w:rPr>
            </w:r>
          </w:p>
        </w:tc>
        <w:tc>
          <w:tcPr>
            <w:tcW w:w="7316" w:type="dxa"/>
            <w:gridSpan w:val="20"/>
            <w:tcBorders/>
            <w:vAlign w:val="center"/>
          </w:tcPr>
          <w:p>
            <w:pPr>
              <w:pStyle w:val="TableContents"/>
              <w:bidi w:val="0"/>
              <w:spacing w:before="0" w:after="283"/>
              <w:jc w:val="left"/>
              <w:rPr>
                <w:sz w:val="4"/>
                <w:szCs w:val="4"/>
              </w:rPr>
            </w:pPr>
            <w:r>
              <w:rPr>
                <w:sz w:val="4"/>
                <w:szCs w:val="4"/>
              </w:rPr>
            </w:r>
          </w:p>
        </w:tc>
      </w:tr>
      <w:tr>
        <w:trPr/>
        <w:tc>
          <w:tcPr>
            <w:tcW w:w="28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929" w:type="dxa"/>
            <w:gridSpan w:val="18"/>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 2025</w:t>
            </w:r>
          </w:p>
        </w:tc>
        <w:tc>
          <w:tcPr>
            <w:tcW w:w="161" w:type="dxa"/>
            <w:tcBorders/>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pPr>
            <w:r>
              <w:rPr>
                <w:i/>
              </w:rPr>
              <w:t>($ in millions)</w:t>
            </w:r>
            <w:r>
              <w:rPr/>
              <w:t xml:space="preserve"> </w:t>
            </w:r>
          </w:p>
        </w:tc>
        <w:tc>
          <w:tcPr>
            <w:tcW w:w="226"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Surfactants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Polymers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Specialty</w:t>
              <w:br/>
              <w:t>Products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Unallocated</w:t>
              <w:br/>
              <w:t>Corporate</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161"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42.3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25.2</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10.8</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(32.0</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46.3</w:t>
            </w:r>
          </w:p>
        </w:tc>
        <w:tc>
          <w:tcPr>
            <w:tcW w:w="161" w:type="dxa"/>
            <w:tcBorders/>
            <w:shd w:fill="CCEEFF" w:val="clear"/>
            <w:vAlign w:val="bottom"/>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40.6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16.4</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60.5</w:t>
            </w:r>
          </w:p>
        </w:tc>
        <w:tc>
          <w:tcPr>
            <w:tcW w:w="161"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 Income</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1.8</w:t>
            </w:r>
          </w:p>
        </w:tc>
        <w:tc>
          <w:tcPr>
            <w:tcW w:w="161" w:type="dxa"/>
            <w:tcBorders/>
            <w:shd w:fill="CCEEFF" w:val="clear"/>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108.6</w:t>
            </w:r>
          </w:p>
        </w:tc>
        <w:tc>
          <w:tcPr>
            <w:tcW w:w="161"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(0.5</w:t>
            </w:r>
          </w:p>
        </w:tc>
        <w:tc>
          <w:tcPr>
            <w:tcW w:w="161" w:type="dxa"/>
            <w:tcBorders/>
            <w:shd w:fill="CCEEFF" w:val="clear"/>
            <w:vAlign w:val="bottom"/>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Remediation</w:t>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0.8</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0.8</w:t>
            </w:r>
          </w:p>
        </w:tc>
        <w:tc>
          <w:tcPr>
            <w:tcW w:w="161" w:type="dxa"/>
            <w:tcBorders/>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82.9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41.6</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13.7</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108.9</w:t>
            </w:r>
          </w:p>
        </w:tc>
        <w:tc>
          <w:tcPr>
            <w:tcW w:w="161" w:type="dxa"/>
            <w:tcBorders/>
            <w:shd w:fill="CCEEFF" w:val="clear"/>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0" w:after="0"/>
        <w:jc w:val="right"/>
        <w:rPr>
          <w:rFonts w:ascii="Times New Roman" w:hAnsi="Times New Roman"/>
          <w:sz w:val="20"/>
        </w:rPr>
      </w:pPr>
      <w:bookmarkStart w:id="4" w:name="d139905dex992.htm"/>
      <w:bookmarkStart w:id="5" w:name="ksd139905dex992"/>
      <w:bookmarkEnd w:id="4"/>
      <w:bookmarkEnd w:id="5"/>
      <w:r>
        <w:rPr>
          <w:rFonts w:ascii="Times New Roman" w:hAnsi="Times New Roman"/>
          <w:sz w:val="20"/>
        </w:rPr>
        <w:t xml:space="preserve">Exhibit 99.2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Stepan Declares Quarterly Dividend </w:t>
      </w:r>
    </w:p>
    <w:p>
      <w:pPr>
        <w:pStyle w:val="TextBody"/>
        <w:bidi w:val="0"/>
        <w:spacing w:before="120" w:after="0"/>
        <w:jc w:val="left"/>
        <w:rPr>
          <w:rFonts w:ascii="Times New Roman" w:hAnsi="Times New Roman"/>
          <w:sz w:val="20"/>
        </w:rPr>
      </w:pPr>
      <w:r>
        <w:rPr>
          <w:rFonts w:ascii="Times New Roman" w:hAnsi="Times New Roman"/>
          <w:sz w:val="20"/>
        </w:rPr>
        <w:t xml:space="preserve">Northbrook, Illinois, July 29, 2026 – Stepan Company (NYSE: SCL) today reported: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of Stepan Company has declared a quarterly cash dividend on the Company’s common stock of $0.395 per share. The dividend is payable on September 15, 2026, to common stockholders of record on September 1, 2026. The Company increased its quarterly cash dividend in the fourth quarter of 2025 by $0.010 per share, marking the 58th consecutive year that the Company has increased its cash dividend to stockholders.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Corporate Profile </w:t>
      </w:r>
    </w:p>
    <w:p>
      <w:pPr>
        <w:pStyle w:val="TextBody"/>
        <w:bidi w:val="0"/>
        <w:spacing w:before="120" w:after="0"/>
        <w:jc w:val="left"/>
        <w:rPr>
          <w:rFonts w:ascii="Times New Roman" w:hAnsi="Times New Roman"/>
          <w:sz w:val="20"/>
        </w:rPr>
      </w:pPr>
      <w:r>
        <w:rPr>
          <w:rFonts w:ascii="Times New Roman" w:hAnsi="Times New Roman"/>
          <w:sz w:val="20"/>
        </w:rPr>
        <w:t xml:space="preserve">Stepan Company is a major manufacturer of specialty and intermediate chemicals used in a broad range of industries. Stepan is a leading merchant producer of surfactants, which are the key ingredients in consumer and industrial cleaning and disinfection products and in agricultural and oilfield solutions. The Company is also a leading supplier of polyurethane polyols used in the expanding thermal insulation market, and CASE (Coatings, Adhesives, Sealants, and Elastomers) industries. </w:t>
      </w:r>
    </w:p>
    <w:p>
      <w:pPr>
        <w:pStyle w:val="TextBody"/>
        <w:bidi w:val="0"/>
        <w:spacing w:before="240" w:after="0"/>
        <w:jc w:val="left"/>
        <w:rPr>
          <w:rFonts w:ascii="Times New Roman" w:hAnsi="Times New Roman"/>
          <w:sz w:val="20"/>
        </w:rPr>
      </w:pPr>
      <w:r>
        <w:rPr>
          <w:rFonts w:ascii="Times New Roman" w:hAnsi="Times New Roman"/>
          <w:sz w:val="20"/>
        </w:rPr>
        <w:t xml:space="preserve">Headquartered in Northbrook, Illinois, Stepan utilizes a network of modern production facilities located in North and South America, Europe and Asia.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is traded on the New York Stock Exchange (NYSE) under the symbol SCL. For more information about Stepan Company please visit the Company online at www.stepan.com. </w:t>
      </w:r>
    </w:p>
    <w:p>
      <w:pPr>
        <w:pStyle w:val="TextBody"/>
        <w:bidi w:val="0"/>
        <w:spacing w:before="240" w:after="0"/>
        <w:jc w:val="left"/>
        <w:rPr>
          <w:rFonts w:ascii="Times New Roman" w:hAnsi="Times New Roman"/>
          <w:sz w:val="20"/>
        </w:rPr>
      </w:pPr>
      <w:r>
        <w:rPr>
          <w:rFonts w:ascii="Times New Roman" w:hAnsi="Times New Roman"/>
          <w:sz w:val="20"/>
        </w:rPr>
        <w:t xml:space="preserve">More information about Stepan’s sustainability program can be found on the Sustainability page at www.stepan.com. </w:t>
      </w:r>
    </w:p>
    <w:p>
      <w:pPr>
        <w:pStyle w:val="TextBody"/>
        <w:bidi w:val="0"/>
        <w:spacing w:before="240" w:after="0"/>
        <w:jc w:val="left"/>
        <w:rPr>
          <w:rFonts w:ascii="Times New Roman" w:hAnsi="Times New Roman"/>
          <w:sz w:val="20"/>
        </w:rPr>
      </w:pPr>
      <w:r>
        <w:rPr>
          <w:rFonts w:ascii="Times New Roman" w:hAnsi="Times New Roman"/>
          <w:sz w:val="20"/>
        </w:rPr>
        <w:t xml:space="preserve">Contact: Ruben Velasquez 847-446-7500 </w:t>
      </w:r>
    </w:p>
    <w:p>
      <w:pPr>
        <w:pStyle w:val="TextBody"/>
        <w:bidi w:val="0"/>
        <w:spacing w:before="240" w:after="0"/>
        <w:jc w:val="left"/>
        <w:rPr>
          <w:rFonts w:ascii="Times New Roman" w:hAnsi="Times New Roman"/>
          <w:i/>
          <w:sz w:val="20"/>
        </w:rPr>
      </w:pPr>
      <w:r>
        <w:rPr>
          <w:rFonts w:ascii="Times New Roman" w:hAnsi="Times New Roman"/>
          <w:i/>
          <w:sz w:val="20"/>
        </w:rPr>
        <w:t xml:space="preserve">Certain information in this news release consists of forward-looking statements within the meaning of the Private Securities Litigation Reform Act of 1995, Section 27A of the Securities Act of 1933, as amended, and Section 21E of the Securities Exchange Act of 1934, as amended. These statements include statements about Stepan Company’s plans, objectives, strategies, financial performance and outlook, trends, the amount and timing of future cash distributions, prospects or future events and involve known and unknown risks that are difficult to predict. As a result, Stepan Company’s actual financial results, performance, achievements or prospects may differ materially from those expressed or implied by these forward-looking statements. In some cases, you can identify forward-looking statements by the use of words such as “may,” “could,” “expect,” “intend,” “plan,” “seek,” “anticipate,” “believe,” “estimate,” “guidance,” “predict,” “potential,” “continue,” “likely,” “will,” “would,” “should,” “illustrative” and variations of these terms and similar expressions, or the negative of these terms or similar expressions. Such forward-looking statements are necessarily based upon estimates and assumptions that, while considered reasonable by Stepan Company and its management based on their knowledge and understanding of the business and industry, are inherently uncertain. These statements are not guarantees of future performance, and stockholders should not place undue reliance on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There are a number of risks, uncertainties and other important factors, many of which are beyond Stepan Company’s control, that could cause actual results to differ materially from the forward-looking statements contained in this news release. Such risks, uncertainties and other important factors include, among other factors, the risks, uncertainties and factors described in Stepan Company’s Form 10-K, Form 10-Q and Form 8-K reports and exhibits to those reports, and include (but are not limited to) risks and uncertainties related to: our ability to realize cost savings or operating efficiencies associated with strategic initiatives, including Project Catalyst; risks related to restructuring activities, including the execution of facility closures and asset, decommissioning, potential operational disruptions, impacts on employees and local, communities, and environmental compliance; accidents, unplanned production shutdowns, interruptions or disruptions in manufacturing facilities; reduced demand due to customer product reformulations or new technologies; our inability to successfully develop or introduce new products; compliance with laws and other legal restrictions, including those relating to the international scope of our business; domestic and global competition; volatility of raw material and energy costs and supply; disruptions in transportation or significant changes in transportation costs; downturns in certain industries and general economic downturns; international business risks, including changes in global trade policies, tariffs, and retaliatory measures and countermeasures; currency exchange rate fluctuations; changes in tax policy and potential adverse tax consequences due to the international scope of our business; downgrades in our credit ratings or our ability to access the credit or capital markets if and when necessary; global political, military, security or other instability and increased security regulations; costs, delays and miscalculations in capacity needs related to expansion or other capital projects; interruption or breaches of information technology systems; unfavorable resolution of litigation against us; maintaining and protecting intellectual property rights; our ability to identify suitable acquisition candidates and successfully complete and integrate acquisitions; our ability to retain executive management and key personnel; and issues relating to compliance with our debt covenants. </w:t>
      </w:r>
    </w:p>
    <w:p>
      <w:pPr>
        <w:pStyle w:val="TextBody"/>
        <w:bidi w:val="0"/>
        <w:spacing w:before="240" w:after="0"/>
        <w:jc w:val="left"/>
        <w:rPr>
          <w:rFonts w:ascii="Times New Roman" w:hAnsi="Times New Roman"/>
          <w:i/>
          <w:sz w:val="20"/>
        </w:rPr>
      </w:pPr>
      <w:r>
        <w:rPr>
          <w:rFonts w:ascii="Times New Roman" w:hAnsi="Times New Roman"/>
          <w:i/>
          <w:sz w:val="20"/>
        </w:rPr>
        <w:t xml:space="preserve">These forward-looking statements are made only as of the date hereof, and Stepan Company undertakes no obligation to update or revise these forward-looking statements, whether as a result of new information, future events or otherwise.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6370</Words>
  <Characters>34453</Characters>
  <CharactersWithSpaces>42967</CharactersWithSpaces>
  <Paragraphs>4078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