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cl-20260630.htm"/>
      <w:bookmarkStart w:id="1" w:name="ksscl20260630"/>
      <w:bookmarkEnd w:id="0"/>
      <w:bookmarkEnd w:id="1"/>
      <w:r>
        <w:rPr/>
        <w:t> </w:t>
      </w:r>
    </w:p>
    <w:p>
      <w:pPr>
        <w:pStyle w:val="TextBody"/>
        <w:pBdr>
          <w:top w:val="single" w:sz="4" w:space="1" w:color="000000"/>
          <w:bottom w:val="single" w:sz="4" w:space="1" w:color="000000"/>
        </w:pBdr>
        <w:bidi w:val="0"/>
        <w:spacing w:before="20" w:after="283"/>
        <w:jc w:val="center"/>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283"/>
        <w:jc w:val="center"/>
        <w:rPr/>
      </w:pPr>
      <w:r>
        <w:rPr/>
        <w:t> </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60" w:after="283"/>
        <w:jc w:val="center"/>
        <w:rPr>
          <w:rFonts w:ascii="Times New Roman" w:hAnsi="Times New Roman"/>
          <w:sz w:val="20"/>
        </w:rPr>
      </w:pPr>
      <w:r>
        <w:rPr>
          <w:rFonts w:ascii="Times New Roman" w:hAnsi="Times New Roman"/>
          <w:b/>
          <w:color w:val="000000"/>
          <w:sz w:val="20"/>
        </w:rPr>
        <w:t xml:space="preserve">FOR THE QUARTERLY PERIOD ENDED </w:t>
      </w:r>
      <w:r>
        <w:rPr>
          <w:rFonts w:ascii="Times New Roman" w:hAnsi="Times New Roman"/>
          <w:b/>
          <w:caps/>
          <w:color w:val="000000"/>
          <w:sz w:val="20"/>
        </w:rPr>
        <w:t>June 30, 2026</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Commission File Number 1-4462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STEPAN COMPANY</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7783" w:type="dxa"/>
        <w:jc w:val="left"/>
        <w:tblInd w:w="0" w:type="dxa"/>
        <w:tblLayout w:type="fixed"/>
        <w:tblCellMar>
          <w:top w:w="28" w:type="dxa"/>
          <w:left w:w="28" w:type="dxa"/>
          <w:bottom w:w="28" w:type="dxa"/>
          <w:right w:w="28" w:type="dxa"/>
        </w:tblCellMar>
      </w:tblPr>
      <w:tblGrid>
        <w:gridCol w:w="4561"/>
        <w:gridCol w:w="146"/>
        <w:gridCol w:w="307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4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36-1823834</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Number)</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1101 Skokie Boulevard, Suite 500, Northbrook, Illinois</w:t>
      </w:r>
      <w:r>
        <w:rPr>
          <w:rFonts w:ascii="Times New Roman" w:hAnsi="Times New Roman"/>
          <w:color w:val="000000"/>
          <w:sz w:val="20"/>
        </w:rPr>
        <w:t xml:space="preserve"> </w:t>
      </w:r>
      <w:r>
        <w:rPr>
          <w:rFonts w:ascii="Times New Roman" w:hAnsi="Times New Roman"/>
          <w:b/>
          <w:color w:val="000000"/>
          <w:sz w:val="20"/>
        </w:rPr>
        <w:t>60062</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(847) 446-7500</w:t>
      </w:r>
    </w:p>
    <w:p>
      <w:pPr>
        <w:pStyle w:val="TextBody"/>
        <w:bidi w:val="0"/>
        <w:spacing w:before="160" w:after="283"/>
        <w:jc w:val="center"/>
        <w:rPr>
          <w:rFonts w:ascii="Times New Roman" w:hAnsi="Times New Roman"/>
          <w:b/>
          <w:color w:val="000000"/>
          <w:sz w:val="16"/>
        </w:rPr>
      </w:pPr>
      <w:r>
        <w:rPr>
          <w:rFonts w:ascii="Times New Roman" w:hAnsi="Times New Roman"/>
          <w:b/>
          <w:color w:val="000000"/>
          <w:sz w:val="16"/>
        </w:rPr>
        <w:t>Securities registered pursuant to Section 12(b) of the Exchange Act:</w:t>
      </w:r>
    </w:p>
    <w:tbl>
      <w:tblPr>
        <w:tblW w:w="7195" w:type="dxa"/>
        <w:jc w:val="left"/>
        <w:tblInd w:w="0" w:type="dxa"/>
        <w:tblLayout w:type="fixed"/>
        <w:tblCellMar>
          <w:top w:w="28" w:type="dxa"/>
          <w:left w:w="28" w:type="dxa"/>
          <w:bottom w:w="28" w:type="dxa"/>
          <w:right w:w="28" w:type="dxa"/>
        </w:tblCellMar>
      </w:tblPr>
      <w:tblGrid>
        <w:gridCol w:w="2161"/>
        <w:gridCol w:w="146"/>
        <w:gridCol w:w="1426"/>
        <w:gridCol w:w="146"/>
        <w:gridCol w:w="3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SCL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the number of shares outstanding of each of the issuer’s classes of common stock, as of the latest practicable date.</w:t>
      </w:r>
    </w:p>
    <w:tbl>
      <w:tblPr>
        <w:tblW w:w="4693" w:type="dxa"/>
        <w:jc w:val="left"/>
        <w:tblInd w:w="0" w:type="dxa"/>
        <w:tblLayout w:type="fixed"/>
        <w:tblCellMar>
          <w:top w:w="28" w:type="dxa"/>
          <w:left w:w="28" w:type="dxa"/>
          <w:bottom w:w="28" w:type="dxa"/>
          <w:right w:w="28" w:type="dxa"/>
        </w:tblCellMar>
      </w:tblPr>
      <w:tblGrid>
        <w:gridCol w:w="2161"/>
        <w:gridCol w:w="146"/>
        <w:gridCol w:w="238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at August 3, 2026</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22,732,540 Shares</w:t>
            </w:r>
          </w:p>
        </w:tc>
      </w:tr>
    </w:tbl>
    <w:p>
      <w:pPr>
        <w:pStyle w:val="TextBody"/>
        <w:pBdr>
          <w:top w:val="single" w:sz="4" w:space="1" w:color="000000"/>
          <w:bottom w:val="sing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1 - Financial Statements</w:t>
      </w:r>
    </w:p>
    <w:p>
      <w:pPr>
        <w:pStyle w:val="TextBody"/>
        <w:bidi w:val="0"/>
        <w:spacing w:before="360" w:after="283"/>
        <w:jc w:val="center"/>
        <w:rPr>
          <w:rFonts w:ascii="Times New Roman" w:hAnsi="Times New Roman"/>
          <w:color w:val="000000"/>
          <w:sz w:val="20"/>
        </w:rPr>
      </w:pPr>
      <w:r>
        <w:rPr>
          <w:rFonts w:ascii="Times New Roman" w:hAnsi="Times New Roman"/>
          <w:color w:val="000000"/>
          <w:sz w:val="20"/>
        </w:rPr>
        <w:t>STEPAN COMPANY</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444"/>
        <w:gridCol w:w="146"/>
        <w:gridCol w:w="211"/>
        <w:gridCol w:w="781"/>
        <w:gridCol w:w="166"/>
        <w:gridCol w:w="146"/>
        <w:gridCol w:w="211"/>
        <w:gridCol w:w="781"/>
        <w:gridCol w:w="166"/>
        <w:gridCol w:w="146"/>
        <w:gridCol w:w="211"/>
        <w:gridCol w:w="931"/>
        <w:gridCol w:w="166"/>
        <w:gridCol w:w="146"/>
        <w:gridCol w:w="211"/>
        <w:gridCol w:w="931"/>
        <w:gridCol w:w="411"/>
      </w:tblGrid>
      <w:tr>
        <w:trPr/>
        <w:tc>
          <w:tcPr>
            <w:tcW w:w="4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technical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restructuring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 (Note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Per Common Share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to Condensed Consolidated Financial Statements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STEPAN COMPANY</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037" w:type="dxa"/>
        <w:jc w:val="left"/>
        <w:tblInd w:w="0" w:type="dxa"/>
        <w:tblLayout w:type="fixed"/>
        <w:tblCellMar>
          <w:top w:w="28" w:type="dxa"/>
          <w:left w:w="28" w:type="dxa"/>
          <w:bottom w:w="28" w:type="dxa"/>
          <w:right w:w="28" w:type="dxa"/>
        </w:tblCellMar>
      </w:tblPr>
      <w:tblGrid>
        <w:gridCol w:w="4956"/>
        <w:gridCol w:w="146"/>
        <w:gridCol w:w="211"/>
        <w:gridCol w:w="676"/>
        <w:gridCol w:w="166"/>
        <w:gridCol w:w="146"/>
        <w:gridCol w:w="211"/>
        <w:gridCol w:w="676"/>
        <w:gridCol w:w="166"/>
        <w:gridCol w:w="146"/>
        <w:gridCol w:w="211"/>
        <w:gridCol w:w="736"/>
        <w:gridCol w:w="166"/>
        <w:gridCol w:w="146"/>
        <w:gridCol w:w="211"/>
        <w:gridCol w:w="676"/>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Defined benefit pension adjustments, net of tax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instrument activity, net of tax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to Condensed Consolidated Financial Statements are an integral part of these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STEPAN COMPANY</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002" w:type="dxa"/>
        <w:jc w:val="left"/>
        <w:tblInd w:w="0" w:type="dxa"/>
        <w:tblLayout w:type="fixed"/>
        <w:tblCellMar>
          <w:top w:w="28" w:type="dxa"/>
          <w:left w:w="28" w:type="dxa"/>
          <w:bottom w:w="28" w:type="dxa"/>
          <w:right w:w="28" w:type="dxa"/>
        </w:tblCellMar>
      </w:tblPr>
      <w:tblGrid>
        <w:gridCol w:w="6246"/>
        <w:gridCol w:w="146"/>
        <w:gridCol w:w="211"/>
        <w:gridCol w:w="991"/>
        <w:gridCol w:w="166"/>
        <w:gridCol w:w="146"/>
        <w:gridCol w:w="260"/>
        <w:gridCol w:w="1225"/>
        <w:gridCol w:w="61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(1,567,409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2,357,702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debt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Commitments and Contingencies </w:t>
            </w:r>
            <w:r>
              <w:rPr>
                <w:rFonts w:ascii="Times New Roman" w:hAnsi="Times New Roman"/>
                <w:color w:val="000000"/>
                <w:sz w:val="20"/>
              </w:rPr>
              <w:t>(Note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$1 par value; authorized 60,000,000 shares;</w:t>
              <w:br/>
              <w:t>   27,467,526 issued shares in 2026 and 27,301,177 issued shares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1,285,752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Common treasury stock, at cost, 4,735,033 shares in 2026</w:t>
              <w:br/>
              <w:t>   and 4,676,739 shares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1,244,010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to Condensed Consolidated Financial Statements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STEPAN COMPANY</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40" w:after="283"/>
        <w:jc w:val="center"/>
        <w:rPr/>
      </w:pPr>
      <w:r>
        <w:rPr/>
        <w:t> </w:t>
      </w:r>
    </w:p>
    <w:tbl>
      <w:tblPr>
        <w:tblW w:w="8029" w:type="dxa"/>
        <w:jc w:val="left"/>
        <w:tblInd w:w="0" w:type="dxa"/>
        <w:tblLayout w:type="fixed"/>
        <w:tblCellMar>
          <w:top w:w="28" w:type="dxa"/>
          <w:left w:w="28" w:type="dxa"/>
          <w:bottom w:w="28" w:type="dxa"/>
          <w:right w:w="28" w:type="dxa"/>
        </w:tblCellMar>
      </w:tblPr>
      <w:tblGrid>
        <w:gridCol w:w="4761"/>
        <w:gridCol w:w="146"/>
        <w:gridCol w:w="211"/>
        <w:gridCol w:w="841"/>
        <w:gridCol w:w="166"/>
        <w:gridCol w:w="146"/>
        <w:gridCol w:w="211"/>
        <w:gridCol w:w="736"/>
        <w:gridCol w:w="81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w:t>
              <w:br/>
              <w:t>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compensation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Realized and unrealized loss on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Pension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Environmental and legal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debt and bank overdrafts, net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debt 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payments of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payments of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rFonts w:ascii="Times New Roman" w:hAnsi="Times New Roman"/>
          <w:color w:val="000000"/>
          <w:sz w:val="20"/>
        </w:rPr>
      </w:pPr>
      <w:r>
        <w:rPr>
          <w:rFonts w:ascii="Times New Roman" w:hAnsi="Times New Roman"/>
          <w:color w:val="000000"/>
          <w:sz w:val="20"/>
        </w:rPr>
        <w:t>The accompanying Notes to Condensed Consolidated Financial Statements are an integral part of these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STEPAN COMPANY</w:t>
      </w:r>
    </w:p>
    <w:p>
      <w:pPr>
        <w:pStyle w:val="TextBody"/>
        <w:bidi w:val="0"/>
        <w:jc w:val="center"/>
        <w:rPr>
          <w:rFonts w:ascii="Times New Roman" w:hAnsi="Times New Roman"/>
          <w:color w:val="000000"/>
          <w:sz w:val="20"/>
        </w:rPr>
      </w:pPr>
      <w:r>
        <w:rPr>
          <w:rFonts w:ascii="Times New Roman" w:hAnsi="Times New Roman"/>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June 30,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consolidated financial statements included herein have been prepared by Stepan Company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adjustments, consisting only of normal recurring accruals, necessary to present fairly the Company’s financial position as of June 30, 2026, its results of operations for the three and six months ended June 30, 2026 and 2025 and cash flows for the six months ended June 30, 2026 and 2025, have been included. These financial statements and related footnotes should be read in conjunction with the financial statements and related footnotes included in the Company’s Annual Report on Form 10-K for the year ended December 31, 2025 (2025 Annual Report on Form 10-K).</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RECONCILIATIONS OF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are reconciliations of total equity for the three and six months ended June 30, 2026 and 2025:</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17"/>
        <w:gridCol w:w="146"/>
        <w:gridCol w:w="196"/>
        <w:gridCol w:w="826"/>
        <w:gridCol w:w="166"/>
        <w:gridCol w:w="146"/>
        <w:gridCol w:w="196"/>
        <w:gridCol w:w="601"/>
        <w:gridCol w:w="146"/>
        <w:gridCol w:w="146"/>
        <w:gridCol w:w="196"/>
        <w:gridCol w:w="691"/>
        <w:gridCol w:w="146"/>
        <w:gridCol w:w="146"/>
        <w:gridCol w:w="196"/>
        <w:gridCol w:w="751"/>
        <w:gridCol w:w="166"/>
        <w:gridCol w:w="146"/>
        <w:gridCol w:w="239"/>
        <w:gridCol w:w="917"/>
        <w:gridCol w:w="166"/>
        <w:gridCol w:w="146"/>
        <w:gridCol w:w="196"/>
        <w:gridCol w:w="826"/>
        <w:gridCol w:w="391"/>
      </w:tblGrid>
      <w:tr>
        <w:trPr/>
        <w:tc>
          <w:tcPr>
            <w:tcW w:w="2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1,235,383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0</w:t>
            </w:r>
            <w:r>
              <w:rPr>
                <w:rFonts w:ascii="Times New Roman" w:hAnsi="Times New Roman"/>
                <w:color w:val="000000"/>
                <w:sz w:val="20"/>
              </w:rPr>
              <w:t> </w:t>
            </w:r>
            <w:r>
              <w:rPr>
                <w:rFonts w:ascii="Times New Roman" w:hAnsi="Times New Roman"/>
                <w:color w:val="000000"/>
                <w:sz w:val="16"/>
              </w:rPr>
              <w:t>shares of</w:t>
              <w:br/>
              <w:t>   common stock under incentive</w:t>
              <w:br/>
              <w:t>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($0.395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1,249,315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17"/>
        <w:gridCol w:w="146"/>
        <w:gridCol w:w="196"/>
        <w:gridCol w:w="826"/>
        <w:gridCol w:w="166"/>
        <w:gridCol w:w="146"/>
        <w:gridCol w:w="196"/>
        <w:gridCol w:w="601"/>
        <w:gridCol w:w="146"/>
        <w:gridCol w:w="146"/>
        <w:gridCol w:w="196"/>
        <w:gridCol w:w="691"/>
        <w:gridCol w:w="146"/>
        <w:gridCol w:w="146"/>
        <w:gridCol w:w="196"/>
        <w:gridCol w:w="751"/>
        <w:gridCol w:w="166"/>
        <w:gridCol w:w="146"/>
        <w:gridCol w:w="239"/>
        <w:gridCol w:w="917"/>
        <w:gridCol w:w="166"/>
        <w:gridCol w:w="146"/>
        <w:gridCol w:w="196"/>
        <w:gridCol w:w="826"/>
        <w:gridCol w:w="391"/>
      </w:tblGrid>
      <w:tr>
        <w:trPr/>
        <w:tc>
          <w:tcPr>
            <w:tcW w:w="2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1,285,752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6,694</w:t>
            </w:r>
            <w:r>
              <w:rPr>
                <w:rFonts w:ascii="Times New Roman" w:hAnsi="Times New Roman"/>
                <w:color w:val="000000"/>
                <w:sz w:val="20"/>
              </w:rPr>
              <w:t> </w:t>
            </w:r>
            <w:r>
              <w:rPr>
                <w:rFonts w:ascii="Times New Roman" w:hAnsi="Times New Roman"/>
                <w:color w:val="000000"/>
                <w:sz w:val="16"/>
              </w:rPr>
              <w:t>shares of common</w:t>
              <w:br/>
              <w:t>   stock under incentive compensation</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($0.790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1,249,315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7"/>
        <w:gridCol w:w="146"/>
        <w:gridCol w:w="196"/>
        <w:gridCol w:w="826"/>
        <w:gridCol w:w="166"/>
        <w:gridCol w:w="146"/>
        <w:gridCol w:w="196"/>
        <w:gridCol w:w="601"/>
        <w:gridCol w:w="146"/>
        <w:gridCol w:w="146"/>
        <w:gridCol w:w="196"/>
        <w:gridCol w:w="691"/>
        <w:gridCol w:w="146"/>
        <w:gridCol w:w="146"/>
        <w:gridCol w:w="196"/>
        <w:gridCol w:w="751"/>
        <w:gridCol w:w="166"/>
        <w:gridCol w:w="146"/>
        <w:gridCol w:w="239"/>
        <w:gridCol w:w="917"/>
        <w:gridCol w:w="166"/>
        <w:gridCol w:w="146"/>
        <w:gridCol w:w="196"/>
        <w:gridCol w:w="826"/>
        <w:gridCol w:w="391"/>
      </w:tblGrid>
      <w:tr>
        <w:trPr/>
        <w:tc>
          <w:tcPr>
            <w:tcW w:w="2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1,284,913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530</w:t>
            </w:r>
            <w:r>
              <w:rPr>
                <w:rFonts w:ascii="Times New Roman" w:hAnsi="Times New Roman"/>
                <w:color w:val="000000"/>
                <w:sz w:val="20"/>
              </w:rPr>
              <w:t> </w:t>
            </w:r>
            <w:r>
              <w:rPr>
                <w:rFonts w:ascii="Times New Roman" w:hAnsi="Times New Roman"/>
                <w:color w:val="000000"/>
                <w:sz w:val="16"/>
              </w:rPr>
              <w:t>shares of</w:t>
              <w:br/>
              <w:t>   common stock under incentive</w:t>
              <w:br/>
              <w:t>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($0.385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1,287,552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17"/>
        <w:gridCol w:w="146"/>
        <w:gridCol w:w="196"/>
        <w:gridCol w:w="826"/>
        <w:gridCol w:w="166"/>
        <w:gridCol w:w="146"/>
        <w:gridCol w:w="196"/>
        <w:gridCol w:w="601"/>
        <w:gridCol w:w="146"/>
        <w:gridCol w:w="146"/>
        <w:gridCol w:w="196"/>
        <w:gridCol w:w="691"/>
        <w:gridCol w:w="146"/>
        <w:gridCol w:w="146"/>
        <w:gridCol w:w="196"/>
        <w:gridCol w:w="751"/>
        <w:gridCol w:w="166"/>
        <w:gridCol w:w="146"/>
        <w:gridCol w:w="239"/>
        <w:gridCol w:w="917"/>
        <w:gridCol w:w="166"/>
        <w:gridCol w:w="146"/>
        <w:gridCol w:w="196"/>
        <w:gridCol w:w="826"/>
        <w:gridCol w:w="391"/>
      </w:tblGrid>
      <w:tr>
        <w:trPr/>
        <w:tc>
          <w:tcPr>
            <w:tcW w:w="2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Common</w:t>
              <w:b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Retained</w:t>
              <w:br/>
              <w:t>Earnings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1,273,886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2,473</w:t>
            </w:r>
            <w:r>
              <w:rPr>
                <w:rFonts w:ascii="Times New Roman" w:hAnsi="Times New Roman"/>
                <w:color w:val="000000"/>
                <w:sz w:val="20"/>
              </w:rPr>
              <w:t> </w:t>
            </w:r>
            <w:r>
              <w:rPr>
                <w:rFonts w:ascii="Times New Roman" w:hAnsi="Times New Roman"/>
                <w:color w:val="000000"/>
                <w:sz w:val="16"/>
              </w:rPr>
              <w:t>shares of common</w:t>
              <w:br/>
              <w:t>  stock under incentive compensation</w:t>
              <w:br/>
              <w: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and 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($0.770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1,287,552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FAIR VALUE MEASUREMENTS</w:t>
      </w:r>
    </w:p>
    <w:p>
      <w:pPr>
        <w:pStyle w:val="TextBody"/>
        <w:bidi w:val="0"/>
        <w:spacing w:before="120" w:after="283"/>
        <w:jc w:val="both"/>
        <w:rPr>
          <w:rFonts w:ascii="Times New Roman" w:hAnsi="Times New Roman"/>
          <w:i/>
          <w:color w:val="000000"/>
          <w:sz w:val="21"/>
        </w:rPr>
      </w:pPr>
      <w:r>
        <w:rPr>
          <w:rFonts w:ascii="Times New Roman" w:hAnsi="Times New Roman"/>
          <w:i/>
          <w:color w:val="000000"/>
          <w:sz w:val="21"/>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Carrying value approximated fair value because of the short maturity of the instruments. Fair value of cash and cash equivalents is a Level 1 measurement. The Company's cash and cash equivalents included money market funds totaling $10,516,000 and $13,807,000 at June 30, 2026 and December 31, 2025, respectively. </w:t>
      </w:r>
    </w:p>
    <w:p>
      <w:pPr>
        <w:pStyle w:val="TextBody"/>
        <w:bidi w:val="0"/>
        <w:spacing w:before="120" w:after="283"/>
        <w:jc w:val="both"/>
        <w:rPr>
          <w:rFonts w:ascii="Times New Roman" w:hAnsi="Times New Roman"/>
          <w:i/>
          <w:color w:val="000000"/>
          <w:sz w:val="21"/>
        </w:rPr>
      </w:pPr>
      <w:r>
        <w:rPr>
          <w:rFonts w:ascii="Times New Roman" w:hAnsi="Times New Roman"/>
          <w:i/>
          <w:color w:val="000000"/>
          <w:sz w:val="21"/>
        </w:rPr>
        <w:t>Derivative assets and liabilities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Derivative assets and liabilities include the foreign currency exchange and interest rate swap contracts discussed in Note 4, </w:t>
      </w:r>
      <w:r>
        <w:rPr>
          <w:rFonts w:ascii="Times New Roman" w:hAnsi="Times New Roman"/>
          <w:i/>
          <w:color w:val="000000"/>
          <w:sz w:val="20"/>
        </w:rPr>
        <w:t>Derivative Instruments</w:t>
      </w:r>
      <w:r>
        <w:rPr>
          <w:rFonts w:ascii="Times New Roman" w:hAnsi="Times New Roman"/>
          <w:color w:val="000000"/>
          <w:sz w:val="20"/>
        </w:rPr>
        <w:t>, of the notes to the Company’s condensed consolidated financial statements (included in Item 1 of this Form 10-Q). Fair value and carrying value were the same because the contracts were recorded at fair value. The fair values of the foreign currency contracts were calculated as the difference between the applicable forward foreign exchange rates at the reporting date and the contracted foreign exchange rates multiplied by the contracted notional amounts. The fair value of the interest rate swap was calculated as the difference between the contracted swap rate and the floating interest rate multiplied by the present value of the notional amount of the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fair value measurements for debt fall in Level 2 of the fair value hierarchy. At June 30, 2026, and December 31, 2025, the fair values and related carrying values of debt, including current maturities, were as follows (the fair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value and carrying value amounts are presented without regard to unamortized debt issuance costs of $217,000 and $275,000 as of June 30, 2026 and December 31, 2025, respectively):</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1336"/>
        <w:gridCol w:w="146"/>
        <w:gridCol w:w="211"/>
        <w:gridCol w:w="781"/>
        <w:gridCol w:w="146"/>
        <w:gridCol w:w="146"/>
        <w:gridCol w:w="229"/>
        <w:gridCol w:w="851"/>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financial assets and liabilities, excluding cash and cash equivalents, measured on a recurring basis at fair value as of June 30, 2026, and December 31, 2025, and the level within the fair value hierarchy in which the fair value measurements fall:</w:t>
      </w:r>
    </w:p>
    <w:p>
      <w:pPr>
        <w:pStyle w:val="TextBody"/>
        <w:bidi w:val="0"/>
        <w:jc w:val="left"/>
        <w:rPr/>
      </w:pPr>
      <w:r>
        <w:rPr/>
        <w:t> </w:t>
      </w:r>
    </w:p>
    <w:tbl>
      <w:tblPr>
        <w:tblW w:w="7080" w:type="dxa"/>
        <w:jc w:val="left"/>
        <w:tblInd w:w="0" w:type="dxa"/>
        <w:tblLayout w:type="fixed"/>
        <w:tblCellMar>
          <w:top w:w="28" w:type="dxa"/>
          <w:left w:w="28" w:type="dxa"/>
          <w:bottom w:w="28" w:type="dxa"/>
          <w:right w:w="28" w:type="dxa"/>
        </w:tblCellMar>
      </w:tblPr>
      <w:tblGrid>
        <w:gridCol w:w="2481"/>
        <w:gridCol w:w="146"/>
        <w:gridCol w:w="211"/>
        <w:gridCol w:w="676"/>
        <w:gridCol w:w="146"/>
        <w:gridCol w:w="146"/>
        <w:gridCol w:w="211"/>
        <w:gridCol w:w="676"/>
        <w:gridCol w:w="146"/>
        <w:gridCol w:w="146"/>
        <w:gridCol w:w="211"/>
        <w:gridCol w:w="571"/>
        <w:gridCol w:w="146"/>
        <w:gridCol w:w="146"/>
        <w:gridCol w:w="239"/>
        <w:gridCol w:w="39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73" w:type="dxa"/>
        <w:jc w:val="left"/>
        <w:tblInd w:w="0" w:type="dxa"/>
        <w:tblLayout w:type="fixed"/>
        <w:tblCellMar>
          <w:top w:w="28" w:type="dxa"/>
          <w:left w:w="28" w:type="dxa"/>
          <w:bottom w:w="28" w:type="dxa"/>
          <w:right w:w="28" w:type="dxa"/>
        </w:tblCellMar>
      </w:tblPr>
      <w:tblGrid>
        <w:gridCol w:w="2481"/>
        <w:gridCol w:w="146"/>
        <w:gridCol w:w="257"/>
        <w:gridCol w:w="823"/>
        <w:gridCol w:w="146"/>
        <w:gridCol w:w="146"/>
        <w:gridCol w:w="211"/>
        <w:gridCol w:w="676"/>
        <w:gridCol w:w="146"/>
        <w:gridCol w:w="146"/>
        <w:gridCol w:w="211"/>
        <w:gridCol w:w="571"/>
        <w:gridCol w:w="146"/>
        <w:gridCol w:w="146"/>
        <w:gridCol w:w="239"/>
        <w:gridCol w:w="39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DERIVATIVE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the Company had open forward foreign currency exchange contracts to buy or sell foreign currencies with U.S. dollar equivalent amounts of $46,234,000 and $57,755,000, respectively. All forward foreign exchange contracts at June 30, 2026 had durations of one month to three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currently exposed to volatility in short-term interest rates and has mitigated certain portions of that risk by using an interest rate swap. The interest rate swap is recognized on the balance sheet as either an asset or a liability measured at fair value. At June 30, 2026, the Company held an interest rate swap contract with a notional value of $100,000,000 that was designated as a cash flow hedge. Period-to-period changes in the fair value of the interest rate swap are initially recognized as gains or losses in other comprehensive income. As the interest rate swap contract is settled, the corresponding gain or loss is reclassified out of accumulated other comprehensive income (AOCI) into earnings. The maturity date of the current interest rate swap contract is March 10, 2027, which is closely aligned with the June 24, 2027 maturity of the Company's revolving credit facility.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fair values of the derivative instruments held by the Company on June 30, 2026, and December 31, 2025, are disclosed in Note 3, </w:t>
      </w:r>
      <w:r>
        <w:rPr>
          <w:rFonts w:ascii="Times New Roman" w:hAnsi="Times New Roman"/>
          <w:i/>
          <w:color w:val="000000"/>
          <w:sz w:val="20"/>
        </w:rPr>
        <w:t>Fair Value Measurements</w:t>
      </w:r>
      <w:r>
        <w:rPr>
          <w:rFonts w:ascii="Times New Roman" w:hAnsi="Times New Roman"/>
          <w:color w:val="000000"/>
          <w:sz w:val="20"/>
        </w:rPr>
        <w:t xml:space="preserve">, of the notes to the Company’s condensed consolidated financial statements (included in Item 1 of this Form 10-Q). Derivative instrument gains and losses for the three and six months ended June 30, 2026 and 2025, were immaterial. For amounts reclassified out of AOCI into earnings for the three and six months ended June 30, 2026 and 2025, see Note 11, </w:t>
      </w:r>
      <w:r>
        <w:rPr>
          <w:rFonts w:ascii="Times New Roman" w:hAnsi="Times New Roman"/>
          <w:i/>
          <w:color w:val="000000"/>
          <w:sz w:val="20"/>
        </w:rPr>
        <w:t>Accumulated Other Comprehensive Income (Loss)</w:t>
      </w:r>
      <w:r>
        <w:rPr>
          <w:rFonts w:ascii="Times New Roman" w:hAnsi="Times New Roman"/>
          <w:color w:val="000000"/>
          <w:sz w:val="20"/>
        </w:rPr>
        <w:t>, of the notes to the Company’s condensed consolidated financial statements (included in Item 1 of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STOCK-BASED COMPENSATION</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Compensation expense recorded for all stock options, performance shares, time-based restricted stock units (RSUs) and stock appreciation rights (SARs) was as follows:</w:t>
      </w:r>
    </w:p>
    <w:tbl>
      <w:tblPr>
        <w:tblW w:w="4210" w:type="dxa"/>
        <w:jc w:val="left"/>
        <w:tblInd w:w="0" w:type="dxa"/>
        <w:tblLayout w:type="fixed"/>
        <w:tblCellMar>
          <w:top w:w="28" w:type="dxa"/>
          <w:left w:w="28" w:type="dxa"/>
          <w:bottom w:w="28" w:type="dxa"/>
          <w:right w:w="28" w:type="dxa"/>
        </w:tblCellMar>
      </w:tblPr>
      <w:tblGrid>
        <w:gridCol w:w="226"/>
        <w:gridCol w:w="571"/>
        <w:gridCol w:w="146"/>
        <w:gridCol w:w="146"/>
        <w:gridCol w:w="211"/>
        <w:gridCol w:w="571"/>
        <w:gridCol w:w="146"/>
        <w:gridCol w:w="146"/>
        <w:gridCol w:w="211"/>
        <w:gridCol w:w="571"/>
        <w:gridCol w:w="146"/>
        <w:gridCol w:w="146"/>
        <w:gridCol w:w="211"/>
        <w:gridCol w:w="571"/>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19"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Unrecognized compensation costs for stock options, performance shares, RSUs and SARs were as follows:</w:t>
      </w:r>
    </w:p>
    <w:tbl>
      <w:tblPr>
        <w:tblW w:w="5102" w:type="dxa"/>
        <w:jc w:val="left"/>
        <w:tblInd w:w="0" w:type="dxa"/>
        <w:tblLayout w:type="fixed"/>
        <w:tblCellMar>
          <w:top w:w="28" w:type="dxa"/>
          <w:left w:w="28" w:type="dxa"/>
          <w:bottom w:w="28" w:type="dxa"/>
          <w:right w:w="28" w:type="dxa"/>
        </w:tblCellMar>
      </w:tblPr>
      <w:tblGrid>
        <w:gridCol w:w="2506"/>
        <w:gridCol w:w="146"/>
        <w:gridCol w:w="211"/>
        <w:gridCol w:w="676"/>
        <w:gridCol w:w="146"/>
        <w:gridCol w:w="146"/>
        <w:gridCol w:w="290"/>
        <w:gridCol w:w="790"/>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shares and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change in unrecognized compensation costs for stock options, performance shares, RSUs and SARs is due to new grants issued in 2026.</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granted the following awards in the first six months of 2026:</w:t>
      </w:r>
    </w:p>
    <w:tbl>
      <w:tblPr>
        <w:tblW w:w="4595" w:type="dxa"/>
        <w:jc w:val="left"/>
        <w:tblInd w:w="0" w:type="dxa"/>
        <w:tblLayout w:type="fixed"/>
        <w:tblCellMar>
          <w:top w:w="28" w:type="dxa"/>
          <w:left w:w="28" w:type="dxa"/>
          <w:bottom w:w="28" w:type="dxa"/>
          <w:right w:w="28" w:type="dxa"/>
        </w:tblCellMar>
      </w:tblPr>
      <w:tblGrid>
        <w:gridCol w:w="3331"/>
        <w:gridCol w:w="146"/>
        <w:gridCol w:w="146"/>
        <w:gridCol w:w="781"/>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shares (at target) and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unrecognized compensation costs at June 30, 2026, are expected to be recognized over weighted-average periods of 2.0 years for stock options, 2.2 years for performance shares and RSUs and 2.1 years for SARs.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composition of inventories at June 30, 2026, and December 31, 2025, was as follows: </w:t>
      </w:r>
    </w:p>
    <w:p>
      <w:pPr>
        <w:pStyle w:val="TextBody"/>
        <w:bidi w:val="0"/>
        <w:jc w:val="left"/>
        <w:rPr/>
      </w:pPr>
      <w:r>
        <w:rPr/>
        <w:t> </w:t>
      </w:r>
    </w:p>
    <w:tbl>
      <w:tblPr>
        <w:tblW w:w="4617" w:type="dxa"/>
        <w:jc w:val="left"/>
        <w:tblInd w:w="0" w:type="dxa"/>
        <w:tblLayout w:type="fixed"/>
        <w:tblCellMar>
          <w:top w:w="28" w:type="dxa"/>
          <w:left w:w="28" w:type="dxa"/>
          <w:bottom w:w="28" w:type="dxa"/>
          <w:right w:w="28" w:type="dxa"/>
        </w:tblCellMar>
      </w:tblPr>
      <w:tblGrid>
        <w:gridCol w:w="1716"/>
        <w:gridCol w:w="146"/>
        <w:gridCol w:w="211"/>
        <w:gridCol w:w="781"/>
        <w:gridCol w:w="146"/>
        <w:gridCol w:w="146"/>
        <w:gridCol w:w="229"/>
        <w:gridCol w:w="851"/>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 cost is recognized in both the Cost of Sales and Operating Expenses sections of the Condensed Consolidated Statements of Income.</w:t>
      </w:r>
    </w:p>
    <w:p>
      <w:pPr>
        <w:pStyle w:val="TextBody"/>
        <w:bidi w:val="0"/>
        <w:jc w:val="both"/>
        <w:rPr/>
      </w:pPr>
      <w:r>
        <w:rPr/>
        <w:t> </w:t>
      </w:r>
    </w:p>
    <w:tbl>
      <w:tblPr>
        <w:tblW w:w="8262" w:type="dxa"/>
        <w:jc w:val="left"/>
        <w:tblInd w:w="0" w:type="dxa"/>
        <w:tblLayout w:type="fixed"/>
        <w:tblCellMar>
          <w:top w:w="28" w:type="dxa"/>
          <w:left w:w="28" w:type="dxa"/>
          <w:bottom w:w="28" w:type="dxa"/>
          <w:right w:w="28" w:type="dxa"/>
        </w:tblCellMar>
      </w:tblPr>
      <w:tblGrid>
        <w:gridCol w:w="3311"/>
        <w:gridCol w:w="146"/>
        <w:gridCol w:w="211"/>
        <w:gridCol w:w="571"/>
        <w:gridCol w:w="146"/>
        <w:gridCol w:w="146"/>
        <w:gridCol w:w="211"/>
        <w:gridCol w:w="571"/>
        <w:gridCol w:w="146"/>
        <w:gridCol w:w="146"/>
        <w:gridCol w:w="211"/>
        <w:gridCol w:w="676"/>
        <w:gridCol w:w="146"/>
        <w:gridCol w:w="146"/>
        <w:gridCol w:w="211"/>
        <w:gridCol w:w="676"/>
        <w:gridCol w:w="5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w:t>
              <w:br/>
              <w:t>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 from operating</w:t>
              <w:br/>
              <w:t>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w:t>
              <w:br/>
              <w:t>  exchange for new operating lease</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outlines the maturities of lease liabilities as of June 30, 2026.</w:t>
      </w:r>
    </w:p>
    <w:p>
      <w:pPr>
        <w:pStyle w:val="TextBody"/>
        <w:bidi w:val="0"/>
        <w:jc w:val="left"/>
        <w:rPr/>
      </w:pPr>
      <w:r>
        <w:rPr/>
        <w:t> </w:t>
      </w:r>
    </w:p>
    <w:tbl>
      <w:tblPr>
        <w:tblW w:w="6310" w:type="dxa"/>
        <w:jc w:val="left"/>
        <w:tblInd w:w="0" w:type="dxa"/>
        <w:tblLayout w:type="fixed"/>
        <w:tblCellMar>
          <w:top w:w="28" w:type="dxa"/>
          <w:left w:w="28" w:type="dxa"/>
          <w:bottom w:w="28" w:type="dxa"/>
          <w:right w:w="28" w:type="dxa"/>
        </w:tblCellMar>
      </w:tblPr>
      <w:tblGrid>
        <w:gridCol w:w="4686"/>
        <w:gridCol w:w="146"/>
        <w:gridCol w:w="211"/>
        <w:gridCol w:w="676"/>
        <w:gridCol w:w="59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(excluding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Subsequent to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operating lease liabilities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This item is included in the Accrued liabilities</w:t>
      </w:r>
      <w:r>
        <w:rPr>
          <w:rFonts w:ascii="Times New Roman" w:hAnsi="Times New Roman"/>
          <w:color w:val="000000"/>
          <w:sz w:val="20"/>
        </w:rPr>
        <w:t xml:space="preserve"> </w:t>
      </w:r>
      <w:r>
        <w:rPr>
          <w:rFonts w:ascii="Times New Roman" w:hAnsi="Times New Roman"/>
          <w:color w:val="000000"/>
          <w:sz w:val="18"/>
        </w:rPr>
        <w:t>line on the Company’s Condensed Consolidated Balance Sheet.</w:t>
      </w:r>
    </w:p>
    <w:p>
      <w:pPr>
        <w:pStyle w:val="TextBody"/>
        <w:bidi w:val="0"/>
        <w:jc w:val="left"/>
        <w:rPr/>
      </w:pPr>
      <w:r>
        <w:rPr/>
        <w:t> </w:t>
      </w:r>
    </w:p>
    <w:tbl>
      <w:tblPr>
        <w:tblW w:w="5864" w:type="dxa"/>
        <w:jc w:val="left"/>
        <w:tblInd w:w="0" w:type="dxa"/>
        <w:tblLayout w:type="fixed"/>
        <w:tblCellMar>
          <w:top w:w="28" w:type="dxa"/>
          <w:left w:w="28" w:type="dxa"/>
          <w:bottom w:w="28" w:type="dxa"/>
          <w:right w:w="28" w:type="dxa"/>
        </w:tblCellMar>
      </w:tblPr>
      <w:tblGrid>
        <w:gridCol w:w="4696"/>
        <w:gridCol w:w="146"/>
        <w:gridCol w:w="203"/>
        <w:gridCol w:w="503"/>
        <w:gridCol w:w="3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 had no leases that had not commenced.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a variety of legal proceedings pending or threatened against the Company that occur in the normal course of the Company’s business, the majority of which relate to environmental assessment, protection and remediation matters. Some of these proceedings may result in fines, penalties, judgments or costs being assessed against the Company at some future time. The Company’s operations are subject to extensive local, state and federal regulations, including the U.S. Comprehensive Environmental Response, Compensation and Liability Act of 1980 (CERCLA) and the Superfund amendments of 1986 (Superfund) as well as comparable regulations applicable to the Company’s foreign locations. Over the years, the Company has received requests for information related to or has been named by government authorities as a potentially responsible party at a number of sites where cleanup costs have been or may be incurred by the Company under CERCLA and similar state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determining the appropriate level of environmental reserves, the Company considers several factors such as information obtained from investigatory studies; changes in the scope of remediation; the interpretation, application and enforcement of laws and regulations; changes in the costs of remediation programs; the development of alternative cleanup technologies and methods; and the relative level of the Company’s involvement at various sites for which the Company is allegedly associated. The level of annual expenditures for remedial, monitoring and investigatory activities will change in the future as major components of planned remediation activities are completed and the scope, timing and costs of existing activities are changed. As of June 30, 2026, the Company estimated a range of possible environmental losses and legal losses of $19,619,000 to $46,483,000. Within the range of possible environmental losses and legal losses, management has currently concluded that no single amount is more likely to occur than any other amounts in the range and, thus, has accrued at the lower end of the range. These accruals totaled $19,619,000 at June 30, 2026 and $19,272,000 at December 31, 2025. Although the Company believes that its estimated range of possible environmental losses and legal losses and its reserves are adequate for contingencies, it is possible, due to uncertainties including those noted above, that additional reserves could be required in the future. Cash expenditures related to environmental remediation and certain other legal matters approximated $749,000 and $3,402,000 for the six months ended June 30, 2026 and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certain sites, the Company has responded to information requests made by federal, state or local government agencies but has received no response confirming or denying the Company’s stated positions. As such, estimates of the total costs, or range of possible costs, of remediation, if any, or the Company’s share of such costs, if any, cannot be determined with respect to these sites. Consequently, the Company is unable to predict the effect thereof on the Company’s financial position, cash flows and results of operations. Based on the Company’s present knowledge with respect to its involvement at these sites, the possibility of other viable entities’ responsibilities for cleanup, and the extended period over which any costs would be incurred, management believes that the Company has no material liability at these sites and that these matters, individually and in the aggregate, will not have a material effect on the Company’s financial position. However, in the event of one or more adverse determinations with respect to such sites in any annual or interim period, the effect on the Company’s cash flows and results of operations for those periods could be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are summaries of the Company’s major contingencies at June 30, 2026:</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Maywood, New Jersey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property in Maywood, New Jersey, property formerly owned by the Company adjacent to its current site and other nearby properties (collectively, the Maywood site) were listed on the National Priorities List in September 1993 pursuant to the provisions of CERCLA because of alleged chemical and radiological contamination. Pursuant to (i) a September 21, 1987 Administrative Order on Consent entered into between the U.S. Environmental Protection Agency (USEPA) and the Company for property formerly owned by the Company at the Maywood site and (ii) the issuance of an order on May 2, 1991 by the USEPA to the Company for property currently owned by the Company at the Maywood site, the Company has completed various Remedial Investigation/Feasibility Studies of soil and groundwater at the Maywood site. On September 24, 2014, the USEPA issued its Record of Decision (ROD) for chemically-contaminated soil at the Maywood site. The ROD was amended pursuant to an Explanation of Significant Differences in January 2021. On February 29, 2024, the U.S. District Court for the District of New Jersey entered a consent decree among the Company, the United States, the New Jersey Department of Environmental Protection (NJDEP) and the New Jersey Spill Compensation Fund Administrator that requires the Company to take certain actions and to pay certain past costs of the United States and NJDEP. The USEPA has not yet issued a ROD for chemically-contaminated groundwater at the Maywood site.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most current information available, the Company believes its recorded liability is reasonable having considered the range of estimated costs of remediation for the Maywood site. The estimate of the cost of remediation for the Maywood site could change again as the Company continues to hold discussions with the USEPA, as the design of the remedial action is finalized, if a groundwater ROD is issued or if other potentially responsible parties are identified. The ultimate amount for which the Company is liable could differ materially from the Company’s current recorded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D’Imperio Property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mid-1970’s, Jerome Lightman and the Lightman Drum Company disposed of hazardous substances generated by the Company at several sites in New Jersey, including the D’Imperio site. The Company was named as a potentially responsible party in an October 2, 1998 lawsuit in the U.S. District Court for the District of New Jersey that involved the D’Imperio Site. The Company is cooperating with other potentially responsible parties to implement the selected remedy. Based on current information, the Company believes that its recorded liability is reasonable having considered the range of estimated cost of remediation for the D’Imperio site. Depending on the ultimate cost of the remediation at this site, the amount for which the Company is liable could differ materially from the Company’s current recorded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Wilmington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formerly owned and operated by the Company in Wilmington, Massachusetts was listed on the National Priorities List in 2006. The Company, together with the current site owner and another potentially responsible party, entered into an Administrative Order on Consent in July 2007 to undertake a Remedial Investigation and Feasibility Study. A ROD was issued by the USEPA on March 30, 2021. The Company and three other potentially responsible parties entered into a consent decree, dated September 28, 2023, with USEPA and the Commonwealth of Massachusetts that requires the remedial design and remedial action of the remedy selected in the ROD for two operable units and an interim remedy for another operable unit. Remediation at this site is being managed by its current owner, to whom the Company sold the property in 1980. The Company is contractually obligated to contribute up to five percent of the environmental response costs incurred by the current owner, with no limitation on the ultimate amount of contributions. The Company had paid the current owner $4,443,000 for the Company’s portion of environmental response costs at the Wilmington site through June 30, 2026. The Company has recorded a liability for its portion of the estimated remediation costs for the site. Depending on the ultimate cost of the remediation at this site, the amount for which the Company is liable could differ materially from the current recorded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29, 2022, the Company and other potentially responsible parties were notified of a possible joint claim by federal and state trustees for alleged natural resource damages related to the Wilmington site. The alleged damages may result in a range of possible penalties and the Company recorded a liability for this matter during the first quarter of 2024. Depending on the ultimate resolution of this matter, the amount for which the Company is liable could differ materially from the current recorded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Millsdale Site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26, 2024, the Company received a Notice and Finding of Violation from the USEPA alleging violations of air regulations at the Company’s Elwood, Illinois (Millsdale) facility. The notice alleges violations related to operating parameters and air emission requirements. The alleged violations may result in a range of possible penalties, including financial penalties or operational remedies. Based on current information, the Company believes that its recorded liability for this matter is reasonable; however, depending on the ultimate resolution of this matter, the amount for which the Company is liable could differ materially from the current recorded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U.S. Sites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Through the regular environmental monitoring of its plant production sites, the Company discovered levels of chemical contamination that were above thresholds allowed by law at its Millsdale and Fieldsboro, New Jersey plants. The Company voluntarily reported its results to the applicable state environmental agencies. As a result, the Company is required to perform self-remediation of the affected areas. Based on current information, the Company believes that its recorded liability for the remediation of the affected areas is appropriate based on an estimate of expected costs. However, actual costs could differ materially from the current recorded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Brazil Tax Rescission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2017, the Brazil Supreme Court ruled that ICMS (State VAT) does not represent a Company’s revenue and should not be included in the calculation basis of certain indirect taxes (PIS/COFINS). Based on the Supreme Court’s decision, the Company’s Brazilian subsidiary filed a lawsuit on March 23, 2017 to recover PIS/COFINS overpayments. The Company’s recovery case was successful and became final in November 2018. In May 2021, the Brazil Supreme Court modulated its original decision so that only taxpayers that had filed lawsuits before March 15, 2017, should recover prior PIS/COFINS overpayments. On June 12, 2023, the Brazil National Treasury filed a rescission action against the Company’s Brazilian subsidiary to rescind its use of the PIS/COFINS tax credits for the period from March 23, 2012, to March 15, 2017. In September and October 2024, the Brazil Superior Court and Supreme Court, respectively, ruled that the generally held two-year “res judicata” principle would start from the May 2021 ruling and not the final ruling in prior taxpayer cases (e.g., November 30, 2018, for the Company’s case). Based on current information, the Company believes that its recorded liability is reasonable; however, depending on the ultimate resolution of this matter, the amount for which the Company is liable could differ materially from the current recorded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March 19, 2025, the Company received a pre-filing notice from USEPA for alleged violations of the Federal Insecticide, Fungicide, and Rodenticide Act (FIFRA) associated with certain of the Company’s biocide products sold by a licensed distributor. USEPA assessed a civil penalty of $1,126,000, which the Company paid on July 2, 2025. As of June 30, 2026, the Company recovered the entire amount of the USEPA penalty from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POSTRETIREMENT BENEFIT PLANS</w:t>
      </w:r>
    </w:p>
    <w:p>
      <w:pPr>
        <w:pStyle w:val="TextBody"/>
        <w:bidi w:val="0"/>
        <w:spacing w:before="120" w:after="283"/>
        <w:jc w:val="left"/>
        <w:rPr>
          <w:rFonts w:ascii="Times New Roman" w:hAnsi="Times New Roman"/>
          <w:b/>
          <w:i/>
          <w:color w:val="000000"/>
          <w:sz w:val="20"/>
          <w:u w:val="single"/>
        </w:rPr>
      </w:pPr>
      <w:r>
        <w:rPr>
          <w:rFonts w:ascii="Times New Roman" w:hAnsi="Times New Roman"/>
          <w:b/>
          <w:i/>
          <w:color w:val="000000"/>
          <w:sz w:val="20"/>
          <w:u w:val="single"/>
        </w:rPr>
        <w:t>Defined Benefit Pension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various funded qualified and unfunded non-qualified defined benefit pension plans, the most significant of which cover employees in the U.S. and U.K. locations. The U.S. and U.K. defined benefit pension plans are frozen and service benefits are no longer being accrued.</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Components of Net Periodic Benefit Cost</w:t>
      </w:r>
    </w:p>
    <w:tbl>
      <w:tblPr>
        <w:tblW w:w="8007" w:type="dxa"/>
        <w:jc w:val="left"/>
        <w:tblInd w:w="0" w:type="dxa"/>
        <w:tblLayout w:type="fixed"/>
        <w:tblCellMar>
          <w:top w:w="28" w:type="dxa"/>
          <w:left w:w="28" w:type="dxa"/>
          <w:bottom w:w="28" w:type="dxa"/>
          <w:right w:w="28" w:type="dxa"/>
        </w:tblCellMar>
      </w:tblPr>
      <w:tblGrid>
        <w:gridCol w:w="3346"/>
        <w:gridCol w:w="146"/>
        <w:gridCol w:w="211"/>
        <w:gridCol w:w="631"/>
        <w:gridCol w:w="166"/>
        <w:gridCol w:w="146"/>
        <w:gridCol w:w="211"/>
        <w:gridCol w:w="631"/>
        <w:gridCol w:w="166"/>
        <w:gridCol w:w="146"/>
        <w:gridCol w:w="211"/>
        <w:gridCol w:w="631"/>
        <w:gridCol w:w="166"/>
        <w:gridCol w:w="146"/>
        <w:gridCol w:w="211"/>
        <w:gridCol w:w="63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STATES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actuarial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882" w:type="dxa"/>
        <w:jc w:val="left"/>
        <w:tblInd w:w="0" w:type="dxa"/>
        <w:tblLayout w:type="fixed"/>
        <w:tblCellMar>
          <w:top w:w="28" w:type="dxa"/>
          <w:left w:w="28" w:type="dxa"/>
          <w:bottom w:w="28" w:type="dxa"/>
          <w:right w:w="28" w:type="dxa"/>
        </w:tblCellMar>
      </w:tblPr>
      <w:tblGrid>
        <w:gridCol w:w="2821"/>
        <w:gridCol w:w="146"/>
        <w:gridCol w:w="211"/>
        <w:gridCol w:w="481"/>
        <w:gridCol w:w="166"/>
        <w:gridCol w:w="146"/>
        <w:gridCol w:w="211"/>
        <w:gridCol w:w="481"/>
        <w:gridCol w:w="166"/>
        <w:gridCol w:w="146"/>
        <w:gridCol w:w="211"/>
        <w:gridCol w:w="481"/>
        <w:gridCol w:w="166"/>
        <w:gridCol w:w="146"/>
        <w:gridCol w:w="211"/>
        <w:gridCol w:w="48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UNITED KINGDOM</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Employer Contributions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 Plans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2026, the Company expects to contribute $880,000 to the U.S. qualified defined benefit plans and $147,000 to the U.S. unfunded non-qualified pension plans. Of such amount, $89,000 had been paid to the non-qualified plans as of June 30, 2026.</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U.K.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U.K. subsidiary does not expect to contribute to its defined benefit pension plan in 2026.</w:t>
      </w:r>
    </w:p>
    <w:p>
      <w:pPr>
        <w:pStyle w:val="TextBody"/>
        <w:bidi w:val="0"/>
        <w:spacing w:before="120" w:after="283"/>
        <w:jc w:val="both"/>
        <w:rPr>
          <w:rFonts w:ascii="Times New Roman" w:hAnsi="Times New Roman"/>
          <w:b/>
          <w:i/>
          <w:color w:val="000000"/>
          <w:sz w:val="20"/>
          <w:u w:val="single"/>
        </w:rPr>
      </w:pPr>
      <w:r>
        <w:rPr>
          <w:rFonts w:ascii="Times New Roman" w:hAnsi="Times New Roman"/>
          <w:b/>
          <w:i/>
          <w:color w:val="000000"/>
          <w:sz w:val="20"/>
          <w:u w:val="single"/>
        </w:rPr>
        <w:t>Defined Contribution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sponsors retirement defined contribution plans that cover eligible U.S. and U.K. employees. The Company’s U.S. retirement plans include two qualified plans, one of which is a 401(k) plan and one of which is an employee stock ownership plan (profit sharing plan), and one non-qualified supplemental executive plan. In the six months ended June 30, 2026 and 2025, the Company made contributions into the qualified retirement plans for U.S. employees and for certain non-U.S. employees. Profit sharing contributions were determined using a formula applied to Company earnings. Approximately 85 percent of union and non-union employees are eligible for either the Company's sponsored or statutory profit sharing contributions and 100 percent of U.S. based union and non-union employees are eligible for the Company's sponsored profit sharing contributions. In 2025 and 2026, profit sharing contributions for U.S. employees were made to the employee stock ownership plan. Profit sharing contributions are allocated to participant accounts based on participant base earnings.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Defined contribution plan expenses for the Company’s qualified contribution plans were as follows:</w:t>
      </w:r>
    </w:p>
    <w:tbl>
      <w:tblPr>
        <w:tblW w:w="7807" w:type="dxa"/>
        <w:jc w:val="left"/>
        <w:tblInd w:w="0" w:type="dxa"/>
        <w:tblLayout w:type="fixed"/>
        <w:tblCellMar>
          <w:top w:w="28" w:type="dxa"/>
          <w:left w:w="28" w:type="dxa"/>
          <w:bottom w:w="28" w:type="dxa"/>
          <w:right w:w="28" w:type="dxa"/>
        </w:tblCellMar>
      </w:tblPr>
      <w:tblGrid>
        <w:gridCol w:w="3466"/>
        <w:gridCol w:w="146"/>
        <w:gridCol w:w="211"/>
        <w:gridCol w:w="571"/>
        <w:gridCol w:w="146"/>
        <w:gridCol w:w="146"/>
        <w:gridCol w:w="211"/>
        <w:gridCol w:w="571"/>
        <w:gridCol w:w="146"/>
        <w:gridCol w:w="146"/>
        <w:gridCol w:w="211"/>
        <w:gridCol w:w="571"/>
        <w:gridCol w:w="146"/>
        <w:gridCol w:w="146"/>
        <w:gridCol w:w="211"/>
        <w:gridCol w:w="571"/>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savings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sharing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defined contribution plan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 rabbi trust to fund the obligations of its non-qualified supplemental executive defined contribution plans (supplemental plans). The trust is comprised of various mutual fund investments selected by the participants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supplemental plans. In accordance with the accounting guidance for rabbi trust arrangements, the assets of the trust and the obligations of the supplemental plans are reported on the Company’s condensed consolidated balance sheets. The Company elected the fair value option for the mutual fund investment assets so that offsetting changes in the mutual fund values and defined contribution plan obligations would be recorded in earnings in the same period. Therefore, the mutual funds are reported at fair value with any subsequent changes in fair value recorded in the statements of income. The supplemental plan liabilities increase (i.e., supplemental plan expense is recognized) when the value of the trust assets appreciate and decrease when the value of the trust assets decline (i.e., supplemental plan income is recognized). At June 30, 2026, the balance of the trust assets was $354,000 which equaled the balance of the supplemental plan liabilities. See the long-term investments section in Note 3, </w:t>
      </w:r>
      <w:r>
        <w:rPr>
          <w:rFonts w:ascii="Times New Roman" w:hAnsi="Times New Roman"/>
          <w:i/>
          <w:color w:val="000000"/>
          <w:sz w:val="20"/>
        </w:rPr>
        <w:t>Fair Value Measurements</w:t>
      </w:r>
      <w:r>
        <w:rPr>
          <w:rFonts w:ascii="Times New Roman" w:hAnsi="Times New Roman"/>
          <w:color w:val="000000"/>
          <w:sz w:val="20"/>
        </w:rPr>
        <w:t>, of the notes to the Company’s condensed consolidated financial statements (included in Item 1 of this Form 10-Q) for further information regarding the Company’s mutual fund assets.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10.</w:t>
      </w:r>
    </w:p>
    <w:p>
      <w:pPr>
        <w:pStyle w:val="TextBody"/>
        <w:bidi w:val="0"/>
        <w:spacing w:before="240" w:after="120"/>
        <w:jc w:val="left"/>
        <w:rPr>
          <w:rFonts w:ascii="Times New Roman" w:hAnsi="Times New Roman"/>
          <w:color w:val="000000"/>
          <w:sz w:val="20"/>
          <w:u w:val="single"/>
        </w:rPr>
      </w:pPr>
      <w:r>
        <w:rPr>
          <w:rFonts w:ascii="Times New Roman" w:hAnsi="Times New Roman"/>
          <w:color w:val="000000"/>
          <w:sz w:val="20"/>
          <w:u w:val="single"/>
        </w:rPr>
        <w:t>EARNINGS PER SHARE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Below are the computations of basic and diluted earnings per share for the three and six months ended June 30, 2026 and 2025:</w:t>
      </w:r>
    </w:p>
    <w:tbl>
      <w:tblPr>
        <w:tblW w:w="9417" w:type="dxa"/>
        <w:jc w:val="left"/>
        <w:tblInd w:w="0" w:type="dxa"/>
        <w:tblLayout w:type="fixed"/>
        <w:tblCellMar>
          <w:top w:w="28" w:type="dxa"/>
          <w:left w:w="28" w:type="dxa"/>
          <w:bottom w:w="28" w:type="dxa"/>
          <w:right w:w="28" w:type="dxa"/>
        </w:tblCellMar>
      </w:tblPr>
      <w:tblGrid>
        <w:gridCol w:w="4576"/>
        <w:gridCol w:w="146"/>
        <w:gridCol w:w="211"/>
        <w:gridCol w:w="676"/>
        <w:gridCol w:w="146"/>
        <w:gridCol w:w="146"/>
        <w:gridCol w:w="211"/>
        <w:gridCol w:w="676"/>
        <w:gridCol w:w="146"/>
        <w:gridCol w:w="146"/>
        <w:gridCol w:w="211"/>
        <w:gridCol w:w="736"/>
        <w:gridCol w:w="166"/>
        <w:gridCol w:w="146"/>
        <w:gridCol w:w="211"/>
        <w:gridCol w:w="676"/>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Computation of 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Computation of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weighted-average net shares from assumed </w:t>
              <w:br/>
              <w:t>   exercise of options (under treasury stock method)</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weighted-average net shares related to unvested </w:t>
              <w:br/>
              <w:t>   stock awards (under treasury stock method)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Add weighted-average net shares from assumed </w:t>
              <w:br/>
              <w:t>   exercise of SARs (under treasury stock method)</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Add weighted-average contingently issuable net</w:t>
              <w:br/>
              <w:t>  shares related to performance stock awards</w:t>
              <w:br/>
              <w:t>  (under treasury stock method)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applicable to diluted</w:t>
              <w:br/>
              <w: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sz w:val="20"/>
        </w:rPr>
      </w:pPr>
      <w:r>
        <w:rPr>
          <w:rFonts w:ascii="Times New Roman" w:hAnsi="Times New Roman"/>
          <w:color w:val="000000"/>
          <w:sz w:val="18"/>
        </w:rPr>
        <w:t>Options/SARs to acquire 1,167,695</w:t>
      </w:r>
      <w:r>
        <w:rPr>
          <w:rFonts w:ascii="Times New Roman" w:hAnsi="Times New Roman"/>
          <w:color w:val="000000"/>
          <w:sz w:val="20"/>
        </w:rPr>
        <w:t xml:space="preserve"> </w:t>
      </w:r>
      <w:r>
        <w:rPr>
          <w:rFonts w:ascii="Times New Roman" w:hAnsi="Times New Roman"/>
          <w:color w:val="000000"/>
          <w:sz w:val="18"/>
        </w:rPr>
        <w:t>shares of the Company's common stock were excluded from the computation of dilutive earnings per share for the three months ended June 30, 2026. Options/SARs to acquire 1,205,183</w:t>
      </w:r>
      <w:r>
        <w:rPr>
          <w:rFonts w:ascii="Times New Roman" w:hAnsi="Times New Roman"/>
          <w:color w:val="000000"/>
          <w:sz w:val="20"/>
        </w:rPr>
        <w:t xml:space="preserve"> </w:t>
      </w:r>
      <w:r>
        <w:rPr>
          <w:rFonts w:ascii="Times New Roman" w:hAnsi="Times New Roman"/>
          <w:color w:val="000000"/>
          <w:sz w:val="18"/>
        </w:rPr>
        <w:t>and 1,209,553</w:t>
      </w:r>
      <w:r>
        <w:rPr>
          <w:rFonts w:ascii="Times New Roman" w:hAnsi="Times New Roman"/>
          <w:color w:val="000000"/>
          <w:sz w:val="20"/>
        </w:rPr>
        <w:t xml:space="preserve"> </w:t>
      </w:r>
      <w:r>
        <w:rPr>
          <w:rFonts w:ascii="Times New Roman" w:hAnsi="Times New Roman"/>
          <w:color w:val="000000"/>
          <w:sz w:val="18"/>
        </w:rPr>
        <w:t>shares of the Company's common stock were excluded from the computation of dilutive earnings per share for the three and six months ended June 30, 2025, respectively. The options/SARs' exercise prices were greater than the average market price for the Company's common stock and inclusion of the instruments would have had an antidilutive effect on the computations of the earnings per share.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For the six months ended June 30, 2026, potential common shares were excluded from the computation of diluted earnings per share because of their anti-dilutive effect due to the net loss for the first six months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ACCUMULATED OTHER COMPREHENSIVE INCOME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Below is the change in the Company’s accumulated other comprehensive income (loss) (AOCI) balance by component (net of income taxes) for the three and six months ended June 30, 2026 and 2025: </w:t>
      </w:r>
    </w:p>
    <w:p>
      <w:pPr>
        <w:pStyle w:val="TextBody"/>
        <w:bidi w:val="0"/>
        <w:jc w:val="left"/>
        <w:rPr/>
      </w:pPr>
      <w:r>
        <w:rPr/>
        <w:t> </w:t>
      </w:r>
    </w:p>
    <w:tbl>
      <w:tblPr>
        <w:tblW w:w="10019" w:type="dxa"/>
        <w:jc w:val="left"/>
        <w:tblInd w:w="0" w:type="dxa"/>
        <w:tblLayout w:type="fixed"/>
        <w:tblCellMar>
          <w:top w:w="28" w:type="dxa"/>
          <w:left w:w="28" w:type="dxa"/>
          <w:bottom w:w="28" w:type="dxa"/>
          <w:right w:w="28" w:type="dxa"/>
        </w:tblCellMar>
      </w:tblPr>
      <w:tblGrid>
        <w:gridCol w:w="4471"/>
        <w:gridCol w:w="146"/>
        <w:gridCol w:w="211"/>
        <w:gridCol w:w="841"/>
        <w:gridCol w:w="166"/>
        <w:gridCol w:w="146"/>
        <w:gridCol w:w="220"/>
        <w:gridCol w:w="770"/>
        <w:gridCol w:w="166"/>
        <w:gridCol w:w="146"/>
        <w:gridCol w:w="240"/>
        <w:gridCol w:w="721"/>
        <w:gridCol w:w="166"/>
        <w:gridCol w:w="146"/>
        <w:gridCol w:w="211"/>
        <w:gridCol w:w="841"/>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Defined</w:t>
              <w:br/>
              <w:t>Benefit</w:t>
              <w:br/>
              <w:t>Pension Plan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Cash Flow</w:t>
              <w:br/>
              <w:t>Hedge</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w:t>
              <w:br/>
              <w:t>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w:t>
              <w:br/>
              <w:t>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w:t>
              <w:br/>
              <w:t>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w:t>
              <w:br/>
              <w:t>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current-period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regarding the reclassifications out of AOCI for the three and six months ended June 30, 2026 and 2025, is displayed below:</w:t>
      </w:r>
    </w:p>
    <w:p>
      <w:pPr>
        <w:pStyle w:val="TextBody"/>
        <w:bidi w:val="0"/>
        <w:jc w:val="left"/>
        <w:rPr/>
      </w:pPr>
      <w:r>
        <w:rPr/>
        <w:t> </w:t>
      </w:r>
    </w:p>
    <w:tbl>
      <w:tblPr>
        <w:tblW w:w="8964" w:type="dxa"/>
        <w:jc w:val="left"/>
        <w:tblInd w:w="0" w:type="dxa"/>
        <w:tblLayout w:type="fixed"/>
        <w:tblCellMar>
          <w:top w:w="28" w:type="dxa"/>
          <w:left w:w="28" w:type="dxa"/>
          <w:bottom w:w="28" w:type="dxa"/>
          <w:right w:w="28" w:type="dxa"/>
        </w:tblCellMar>
      </w:tblPr>
      <w:tblGrid>
        <w:gridCol w:w="3046"/>
        <w:gridCol w:w="146"/>
        <w:gridCol w:w="211"/>
        <w:gridCol w:w="481"/>
        <w:gridCol w:w="166"/>
        <w:gridCol w:w="146"/>
        <w:gridCol w:w="211"/>
        <w:gridCol w:w="376"/>
        <w:gridCol w:w="166"/>
        <w:gridCol w:w="146"/>
        <w:gridCol w:w="211"/>
        <w:gridCol w:w="481"/>
        <w:gridCol w:w="166"/>
        <w:gridCol w:w="146"/>
        <w:gridCol w:w="211"/>
        <w:gridCol w:w="481"/>
        <w:gridCol w:w="166"/>
        <w:gridCol w:w="146"/>
        <w:gridCol w:w="18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Amount Reclassified from AOCI </w:t>
            </w:r>
            <w:r>
              <w:rPr>
                <w:rFonts w:ascii="Times New Roman" w:hAnsi="Times New Roman"/>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AOCI Components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Affected Line Item in </w:t>
              <w:br/>
              <w:t>Condensed Consolidated</w:t>
              <w:br/>
              <w:t>Statements of Income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defined benefit</w:t>
              <w:br/>
              <w:t>    pension actuarial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Gains and losses on cash flow</w:t>
              <w:br/>
              <w: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before tax</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reclassifications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of tax</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sz w:val="20"/>
        </w:rPr>
      </w:pPr>
      <w:r>
        <w:rPr>
          <w:rFonts w:ascii="Times New Roman" w:hAnsi="Times New Roman"/>
          <w:color w:val="000000"/>
          <w:sz w:val="20"/>
        </w:rPr>
        <w:t>A</w:t>
      </w:r>
      <w:r>
        <w:rPr>
          <w:rFonts w:ascii="Times New Roman" w:hAnsi="Times New Roman"/>
          <w:color w:val="000000"/>
          <w:sz w:val="18"/>
        </w:rPr>
        <w:t>mounts in parentheses denote expense to the Company’s Condensed Consolidated Statements of Income.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sz w:val="20"/>
        </w:rPr>
      </w:pPr>
      <w:r>
        <w:rPr>
          <w:rFonts w:ascii="Times New Roman" w:hAnsi="Times New Roman"/>
          <w:color w:val="000000"/>
          <w:sz w:val="18"/>
        </w:rPr>
        <w:t xml:space="preserve">This component of accumulated other comprehensive income is included in the computation of net periodic benefit cost. See Note 9, </w:t>
      </w:r>
      <w:r>
        <w:rPr>
          <w:rFonts w:ascii="Times New Roman" w:hAnsi="Times New Roman"/>
          <w:i/>
          <w:color w:val="000000"/>
          <w:sz w:val="18"/>
        </w:rPr>
        <w:t>Postretirement Benefit Plans</w:t>
      </w:r>
      <w:r>
        <w:rPr>
          <w:rFonts w:ascii="Times New Roman" w:hAnsi="Times New Roman"/>
          <w:color w:val="000000"/>
          <w:sz w:val="18"/>
        </w:rPr>
        <w:t>, of the notes to the Company’s condensed consolidated financial statements (included in Item 1 of this Form 10-Q) for additional details.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three reportable segments: Surfactants, Polymers and Specialty Products. The Company’s Chief Operating Decision Maker (CODM) is the President and Chief Executive Officer. The accounting policies of the reportable segments are the same as those described in the Company’s Annual Report on Form 10-K for the year ended December 31, 2025. The following is segment data for the three and six months ended June 30, 2026 and 2025, and reconciliations of segment data to the condensed consolidated financial statements:</w:t>
      </w:r>
    </w:p>
    <w:p>
      <w:pPr>
        <w:pStyle w:val="TextBody"/>
        <w:bidi w:val="0"/>
        <w:spacing w:before="120" w:after="283"/>
        <w:jc w:val="both"/>
        <w:rPr/>
      </w:pPr>
      <w:r>
        <w:rPr/>
        <w:t> </w:t>
      </w:r>
    </w:p>
    <w:tbl>
      <w:tblPr>
        <w:tblW w:w="908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78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 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684,109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583,716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3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93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1,122,951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(106,335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63,282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78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tbl>
      <w:tblPr>
        <w:tblW w:w="923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931"/>
        <w:gridCol w:w="3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68,668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Corporate Expenses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Capital Expenditures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Depreciation and Amortization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segment assets at June 30, 2026 and December 31, 2025, and reconciliations of segment assets to the condensed consolidated financial statements.</w:t>
      </w:r>
    </w:p>
    <w:p>
      <w:pPr>
        <w:pStyle w:val="TextBody"/>
        <w:bidi w:val="0"/>
        <w:jc w:val="both"/>
        <w:rPr/>
      </w:pPr>
      <w:r>
        <w:rPr/>
        <w:t> </w:t>
      </w:r>
    </w:p>
    <w:tbl>
      <w:tblPr>
        <w:tblW w:w="7352" w:type="dxa"/>
        <w:jc w:val="left"/>
        <w:tblInd w:w="0" w:type="dxa"/>
        <w:tblLayout w:type="fixed"/>
        <w:tblCellMar>
          <w:top w:w="28" w:type="dxa"/>
          <w:left w:w="28" w:type="dxa"/>
          <w:bottom w:w="28" w:type="dxa"/>
          <w:right w:w="28" w:type="dxa"/>
        </w:tblCellMar>
      </w:tblPr>
      <w:tblGrid>
        <w:gridCol w:w="1876"/>
        <w:gridCol w:w="146"/>
        <w:gridCol w:w="211"/>
        <w:gridCol w:w="931"/>
        <w:gridCol w:w="146"/>
        <w:gridCol w:w="146"/>
        <w:gridCol w:w="211"/>
        <w:gridCol w:w="781"/>
        <w:gridCol w:w="146"/>
        <w:gridCol w:w="146"/>
        <w:gridCol w:w="211"/>
        <w:gridCol w:w="676"/>
        <w:gridCol w:w="146"/>
        <w:gridCol w:w="146"/>
        <w:gridCol w:w="211"/>
        <w:gridCol w:w="931"/>
        <w:gridCol w:w="2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Assets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2,392,666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br/>
              <w:t>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2,249,599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Unallocated Assets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Consolidated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2,357,702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Cost of sales is comprised of raw material costs (including freight and shipping/handling expenses to deliver the raw materials), manufacturing plant labor expenses and other manufacturing overhead expenses, such as utilities, maintenance, depreciation, etc. that can be allocated to reportable segments.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Operating expenses allocated to reportable segments are comprised of selling, administrative and research and development expenses. The CODM uses operating expenses in aggregate to analyze the performance of each reportable segment.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Unallocated corporate expenses are primarily comprised of corporate administrative expenses (e.g., corporate finance, legal, human resources, information technology and environmental remediation expenses), deferred compensation and business restructuring expenses that are not included in segment operating income and not used to evaluate segment performance.</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Unallocated capital expenditures primarily include capital expenditures related to the Company’s Northfield, Illinois location.</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Unallocated depreciation and amortization primarily includes depreciation related to the Company’s Northfield, Illinois location.</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Unallocated assets primarily include assets in the Company’s Northfield, Illinois location.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REVENUE FROM CONTRACTS WITH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accounts receivable financing programs under which the Company has the ability to sell eligible receivables for select customers to select banking institutions. For the three months ended June 30, 2026 and 2025, the Company’s cash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proceeds from the sale of receivables were $24,496,000 and $20,606,000, respectively. For the six months ended June 30, 2026 and 2025, the Company’s cash proceeds from the sale of receivables were $40,114,000 and $55,075,000, respectively. Financing charges incurred from the sale of accounts receivable qualifying as sales for the three and six months ended June 30, 2026 and 2025 were immaterial.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 had $405,000 and $218,000 of contract liabilities and no contract assets, respectively. A contract liability would typically arise when an advance or deposit is received from a customer before the Company recognizes revenue. In practice, this is rare as it would require a customer to make a payment prior to a performance obligation being satisfied. When such situations do arise, the Company maintains a deferred revenue liability until the time a performance obligation has been satisfied. The Company recognized $218,000 of revenue in the first six months of 2026 from pre-existing contract liabilities at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during 2020, the Company recorded $10,709,000 of long-term deferred revenue associated with a payment received to defray the cost of capital expenditures necessary to service a customer’s future product needs. At June 30, 2026, $1,108,000 was classified as long-term and $2,216,000 was classified as short-term. This deferred revenue is being recognized over the period of the contract and $7,385,000 of revenue has been recognized from the beginning of the contract term through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tables below provide a geographic disaggregation of net sales for the three and six months ended June 30, 2026 and 2025. The Company’s business segmentation by geographic region most effectively captures the nature and economic characteristics of the Company’s revenue streams impacted by economic factors.</w:t>
      </w:r>
    </w:p>
    <w:p>
      <w:pPr>
        <w:pStyle w:val="TextBody"/>
        <w:bidi w:val="0"/>
        <w:spacing w:before="240" w:after="283"/>
        <w:jc w:val="both"/>
        <w:rPr/>
      </w:pPr>
      <w:r>
        <w:rPr/>
        <w:t> </w:t>
      </w:r>
    </w:p>
    <w:tbl>
      <w:tblPr>
        <w:tblW w:w="6972" w:type="dxa"/>
        <w:jc w:val="left"/>
        <w:tblInd w:w="0" w:type="dxa"/>
        <w:tblLayout w:type="fixed"/>
        <w:tblCellMar>
          <w:top w:w="28" w:type="dxa"/>
          <w:left w:w="28" w:type="dxa"/>
          <w:bottom w:w="28" w:type="dxa"/>
          <w:right w:w="28" w:type="dxa"/>
        </w:tblCellMar>
      </w:tblPr>
      <w:tblGrid>
        <w:gridCol w:w="1696"/>
        <w:gridCol w:w="146"/>
        <w:gridCol w:w="211"/>
        <w:gridCol w:w="781"/>
        <w:gridCol w:w="146"/>
        <w:gridCol w:w="146"/>
        <w:gridCol w:w="211"/>
        <w:gridCol w:w="781"/>
        <w:gridCol w:w="146"/>
        <w:gridCol w:w="146"/>
        <w:gridCol w:w="211"/>
        <w:gridCol w:w="676"/>
        <w:gridCol w:w="146"/>
        <w:gridCol w:w="146"/>
        <w:gridCol w:w="211"/>
        <w:gridCol w:w="78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Geographic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22" w:type="dxa"/>
        <w:jc w:val="left"/>
        <w:tblInd w:w="0" w:type="dxa"/>
        <w:tblLayout w:type="fixed"/>
        <w:tblCellMar>
          <w:top w:w="28" w:type="dxa"/>
          <w:left w:w="28" w:type="dxa"/>
          <w:bottom w:w="28" w:type="dxa"/>
          <w:right w:w="28" w:type="dxa"/>
        </w:tblCellMar>
      </w:tblPr>
      <w:tblGrid>
        <w:gridCol w:w="1696"/>
        <w:gridCol w:w="146"/>
        <w:gridCol w:w="211"/>
        <w:gridCol w:w="781"/>
        <w:gridCol w:w="146"/>
        <w:gridCol w:w="146"/>
        <w:gridCol w:w="211"/>
        <w:gridCol w:w="781"/>
        <w:gridCol w:w="146"/>
        <w:gridCol w:w="146"/>
        <w:gridCol w:w="211"/>
        <w:gridCol w:w="676"/>
        <w:gridCol w:w="146"/>
        <w:gridCol w:w="146"/>
        <w:gridCol w:w="211"/>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Geographic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741,767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6972" w:type="dxa"/>
        <w:jc w:val="left"/>
        <w:tblInd w:w="0" w:type="dxa"/>
        <w:tblLayout w:type="fixed"/>
        <w:tblCellMar>
          <w:top w:w="28" w:type="dxa"/>
          <w:left w:w="28" w:type="dxa"/>
          <w:bottom w:w="28" w:type="dxa"/>
          <w:right w:w="28" w:type="dxa"/>
        </w:tblCellMar>
      </w:tblPr>
      <w:tblGrid>
        <w:gridCol w:w="1696"/>
        <w:gridCol w:w="146"/>
        <w:gridCol w:w="211"/>
        <w:gridCol w:w="781"/>
        <w:gridCol w:w="146"/>
        <w:gridCol w:w="146"/>
        <w:gridCol w:w="211"/>
        <w:gridCol w:w="781"/>
        <w:gridCol w:w="146"/>
        <w:gridCol w:w="146"/>
        <w:gridCol w:w="211"/>
        <w:gridCol w:w="676"/>
        <w:gridCol w:w="146"/>
        <w:gridCol w:w="146"/>
        <w:gridCol w:w="211"/>
        <w:gridCol w:w="78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Geographic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22" w:type="dxa"/>
        <w:jc w:val="left"/>
        <w:tblInd w:w="0" w:type="dxa"/>
        <w:tblLayout w:type="fixed"/>
        <w:tblCellMar>
          <w:top w:w="28" w:type="dxa"/>
          <w:left w:w="28" w:type="dxa"/>
          <w:bottom w:w="28" w:type="dxa"/>
          <w:right w:w="28" w:type="dxa"/>
        </w:tblCellMar>
      </w:tblPr>
      <w:tblGrid>
        <w:gridCol w:w="1696"/>
        <w:gridCol w:w="146"/>
        <w:gridCol w:w="211"/>
        <w:gridCol w:w="781"/>
        <w:gridCol w:w="146"/>
        <w:gridCol w:w="146"/>
        <w:gridCol w:w="211"/>
        <w:gridCol w:w="781"/>
        <w:gridCol w:w="146"/>
        <w:gridCol w:w="146"/>
        <w:gridCol w:w="211"/>
        <w:gridCol w:w="676"/>
        <w:gridCol w:w="146"/>
        <w:gridCol w:w="146"/>
        <w:gridCol w:w="211"/>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Geographic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Surfactants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Polymers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Specialty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and December 31, 2025, debt was comprised of the following: </w:t>
      </w:r>
    </w:p>
    <w:p>
      <w:pPr>
        <w:pStyle w:val="TextBody"/>
        <w:bidi w:val="0"/>
        <w:jc w:val="left"/>
        <w:rPr/>
      </w:pPr>
      <w:r>
        <w:rPr/>
        <w:t> </w:t>
      </w:r>
    </w:p>
    <w:tbl>
      <w:tblPr>
        <w:tblW w:w="8424" w:type="dxa"/>
        <w:jc w:val="left"/>
        <w:tblInd w:w="0" w:type="dxa"/>
        <w:tblLayout w:type="fixed"/>
        <w:tblCellMar>
          <w:top w:w="28" w:type="dxa"/>
          <w:left w:w="28" w:type="dxa"/>
          <w:bottom w:w="28" w:type="dxa"/>
          <w:right w:w="28" w:type="dxa"/>
        </w:tblCellMar>
      </w:tblPr>
      <w:tblGrid>
        <w:gridCol w:w="4371"/>
        <w:gridCol w:w="146"/>
        <w:gridCol w:w="1006"/>
        <w:gridCol w:w="146"/>
        <w:gridCol w:w="211"/>
        <w:gridCol w:w="781"/>
        <w:gridCol w:w="146"/>
        <w:gridCol w:w="146"/>
        <w:gridCol w:w="229"/>
        <w:gridCol w:w="851"/>
        <w:gridCol w:w="39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Maturity </w:t>
              <w:br/>
              <w:t>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3.95% (net of unamortized debt issuance cost</w:t>
              <w:br/>
              <w:t>   of $34 and $56 for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2.30% (net of unamortized debt issuance cost</w:t>
              <w:br/>
              <w:t>   of $44 and $55 for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2.37% (net of unamortized debt issuance cost</w:t>
              <w:br/>
              <w:t>   of $49 and $60 for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2.73% (net of unamortized debt issuance cost</w:t>
              <w:br/>
              <w:t>   of $43 and $52 for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2.83% (net of unamortized debt issuance cost</w:t>
              <w:br/>
              <w:t>   of $47 and $52 for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6.17% (net of unamortized debt issuance cost</w:t>
              <w:br/>
              <w:t>   of $0 and $0 for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and term loan borrowing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long-term debt financing is comprised of certain senior unsecured notes issued to insurance companies in private placement transactions pursuant to note purchase agreements (the “Note Purchase Agreements”), totaling $303,354,000 as of June 30, 2026. These notes are denominated in U.S. dollars and have fixed interest rates ranging from 2.30 percent to 6.17 percent. The notes had original maturities of seven to 12 years with mandatory principal payments beginning four, five and six years after issuance. The Company will be required to make principal payments on the currently outstanding notes from 2026 to 2033.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credit agreement (the Credit Agreement) with a syndicate of banks provides for credit facilities in an initial aggregate principal amount of $450,000,000, consisting of (a) a $350,000,000 multi-currency revolving credit facility and (b) a $100,000,000 delayed draw term loan credit facility, each of which matures on June 24, 2027. The Company's credit agreement with Credit Industriel et Commercial NY (the CIC Credit Agreement) provides for a credit facility in an aggregate principal amount of $8,700,000. The facility is for the sole purpose of the issuance of standby letters of credit. As of June 30, 2026, the Company had an outstanding letter of credit of $8,694,000 under the CIC Credit Agreement. The Company maintains import and export letters of credit, and standby letters of credit under its workers’ compensation insurance agreements and for other purposes, as needed from time to time, which are issued under the Credit Agreement and under the CIC Credit Agreement. As of June 30, 2026, the Company had outstanding letters of credit totaling $4,585,000 and $344,000,000 of outstanding borrowings under the Credit Agreement, inclusive of an $80,000,000 delayed-draw term loan ($20,000,000 of the term loan principal has been permanently repaid as scheduled). There was $81,415,000 available under the Credit Agreement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foreign subsidiaries had no debt outstanding at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material debt agreements contain provisions which, among other covenants, require maintenance of certain financial ratios and place limitations on additional debt, investments and payment of dividends. Based on the loan agreement provisions that place limitations on dividend payments, unrestricted retained earnings (i.e., retained earnings available for dividend distribution) were $227,780,000 and $263,923,000 at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OTHER,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net in the condensed consolidated statements of income included the following:</w:t>
      </w:r>
    </w:p>
    <w:p>
      <w:pPr>
        <w:pStyle w:val="TextBody"/>
        <w:bidi w:val="0"/>
        <w:jc w:val="left"/>
        <w:rPr/>
      </w:pPr>
      <w:r>
        <w:rPr/>
        <w:t> </w:t>
      </w:r>
    </w:p>
    <w:tbl>
      <w:tblPr>
        <w:tblW w:w="8367" w:type="dxa"/>
        <w:jc w:val="left"/>
        <w:tblInd w:w="0" w:type="dxa"/>
        <w:tblLayout w:type="fixed"/>
        <w:tblCellMar>
          <w:top w:w="28" w:type="dxa"/>
          <w:left w:w="28" w:type="dxa"/>
          <w:bottom w:w="28" w:type="dxa"/>
          <w:right w:w="28" w:type="dxa"/>
        </w:tblCellMar>
      </w:tblPr>
      <w:tblGrid>
        <w:gridCol w:w="3766"/>
        <w:gridCol w:w="146"/>
        <w:gridCol w:w="211"/>
        <w:gridCol w:w="571"/>
        <w:gridCol w:w="166"/>
        <w:gridCol w:w="146"/>
        <w:gridCol w:w="211"/>
        <w:gridCol w:w="571"/>
        <w:gridCol w:w="166"/>
        <w:gridCol w:w="146"/>
        <w:gridCol w:w="211"/>
        <w:gridCol w:w="571"/>
        <w:gridCol w:w="166"/>
        <w:gridCol w:w="146"/>
        <w:gridCol w:w="211"/>
        <w:gridCol w:w="57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and 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BUSINESS RESTRUCTURING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2026, as part of the Company's Project Catalyst, a comprehensive operational and efficiency plan, the Company’s Board of Directors approved plans to shut down the Company’s Fieldsboro, New Jersey site and decommission select assets at its Elwood, Illinois (Millsdale) and Stalybridge, U.K. facilities during the first half of 2026. The Company is mostly consolidating the impacted operations into its existing network, improving its asset utilization and reducing its fixed cost basis, while maintaining ongoing supply for its customers. Total pre-tax business restructuring expenses related to the asset shutdowns for the second quarter of 2026 and the first six months of 2026 were $5,106,000 and $70,545,000, respectively. Restructuring costs in the first half of 2026 included $61,309,000 of asset impairment charges. The Fieldsboro, New Jersey site, Elwood, Illinois (Millsdale) site and Stalybridge, U.K site recognized $42,109,000, $14,332,000 and $4,868,000, respectively, in asset impairment charges. During the first six months of 2026, the Company also recognized $7,509,000 and $1,727,000 of decommissioning/other and termination expenses,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Although all restructuring charges related to the Surfactants segment, they were excluded from the Surfactants segment results and are shown on a separate </w:t>
      </w:r>
      <w:r>
        <w:rPr>
          <w:rFonts w:ascii="Times New Roman" w:hAnsi="Times New Roman"/>
          <w:i/>
          <w:color w:val="000000"/>
          <w:sz w:val="20"/>
        </w:rPr>
        <w:t>Business restructuring</w:t>
      </w:r>
      <w:r>
        <w:rPr>
          <w:rFonts w:ascii="Times New Roman" w:hAnsi="Times New Roman"/>
          <w:color w:val="000000"/>
          <w:sz w:val="20"/>
        </w:rPr>
        <w:t xml:space="preserve"> line item in the Condensed Consolidated Statements of Income for the three and six months ended June 30, 2026 and 2025. Below is a reconciliation of the beginning and ending balances of the restructuring liability:</w:t>
      </w:r>
    </w:p>
    <w:p>
      <w:pPr>
        <w:pStyle w:val="TextBody"/>
        <w:bidi w:val="0"/>
        <w:spacing w:before="120" w:after="283"/>
        <w:jc w:val="both"/>
        <w:rPr/>
      </w:pPr>
      <w:r>
        <w:rPr/>
        <w:t> </w:t>
      </w:r>
    </w:p>
    <w:tbl>
      <w:tblPr>
        <w:tblW w:w="8485" w:type="dxa"/>
        <w:jc w:val="left"/>
        <w:tblInd w:w="0" w:type="dxa"/>
        <w:tblLayout w:type="fixed"/>
        <w:tblCellMar>
          <w:top w:w="28" w:type="dxa"/>
          <w:left w:w="28" w:type="dxa"/>
          <w:bottom w:w="28" w:type="dxa"/>
          <w:right w:w="28" w:type="dxa"/>
        </w:tblCellMar>
      </w:tblPr>
      <w:tblGrid>
        <w:gridCol w:w="3016"/>
        <w:gridCol w:w="146"/>
        <w:gridCol w:w="671"/>
        <w:gridCol w:w="2014"/>
        <w:gridCol w:w="166"/>
        <w:gridCol w:w="146"/>
        <w:gridCol w:w="293"/>
        <w:gridCol w:w="668"/>
        <w:gridCol w:w="166"/>
        <w:gridCol w:w="146"/>
        <w:gridCol w:w="211"/>
        <w:gridCol w:w="631"/>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Decommissioning and Other Charges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Termination</w:t>
              <w:br/>
              <w:t>Benefits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w:t>
              <w:br/>
              <w: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accrued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w:t>
              <w:br/>
              <w: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 accrued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liability at</w:t>
              <w:br/>
              <w: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anticipates recognizing total restructuring expenses in the range of $75,000,000 to $80,000,000 for full year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NONCASH INVESTING AND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Noncash investing activities included liabilities (accounts payable) incurred for property, plant and equipment expenditures of approximately $7,875,000 and $10,593,000 that were unpaid at June 30, 2026 and 2025, respectively. Noncash financing activities included the issuance of 159,655 shares of the Company’s common stock (valued at $8,602,000) and 132,057 shares of the Company’s common stock (valued at $7,811,000) under the Company’s equity incentive compensation plan during the period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PURCHASE AND SALE AGREEMENT TO SELL LAND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24, 2026, the Company entered into a Purchase and Sale Agreement to sell a parcel of the Company’s land near its Elwood, IL (Millsdale) site. The agreed upon purchase price for the property is $30,000,000 and is subject to customary adjustments and closing conditions. The transaction is expected to close during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No.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This update requires that public entities on an interim and annual basis disclose, in the notes to financial statements, specified information about certain costs and expenses. ASU No. 2024-03 requires a footnote disclosure in tabular form of each expense caption on the face of the income statement that includes any of the following natural expenses: (1) purchases of inventory, (2) employee compensation, (3) depreciation, and (4) intangible asset amortization. The disclosure would also include a qualitative description of the amounts remaining in relevant expense captions that are not separately disaggregated quantitatively and disclosure of the total amount of selling expenses and, in annual reporting periods, an entity’s definition of selling expenses. This ASU does not change or remove existing expense disclosure requirements; however, it may affect where that information appears in the footnotes to the financial statements. In January 2025, the FASB issued ASU No. 2025-01, </w:t>
      </w:r>
      <w:r>
        <w:rPr>
          <w:rFonts w:ascii="Times New Roman" w:hAnsi="Times New Roman"/>
          <w:i/>
          <w:color w:val="000000"/>
          <w:sz w:val="20"/>
        </w:rPr>
        <w:t xml:space="preserve">Income Statement - Reporting Comprehensive income - Expense Disaggregation Disclosures (Subtopic 220-40), Clarifying the effective date. </w:t>
      </w:r>
      <w:r>
        <w:rPr>
          <w:rFonts w:ascii="Times New Roman" w:hAnsi="Times New Roman"/>
          <w:color w:val="000000"/>
          <w:sz w:val="20"/>
        </w:rPr>
        <w:t>The amendments in ASU No. 2024-03 are effective for annual periods beginning after December 15, 2026 and interim reporting periods beginning after December 15, 2027. The amendments in this update should be applied either prospectively to financial statements issued for reporting periods after the effective date or retrospectively to any or all prior periods presented in the financial statements. The implementation of ASU No. 2024-03 will not have an impact on the Company’s financial position, results of operations and cash flow but will impact the Company’s interim and annual disclosures related to the relevant subtopics in this update.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 xml:space="preserve">Intangibles-Goodwill and Other-Internal-Use Software (Subtopic 350-40) An Amendment of the FASB Accounting Standards Codification - Targeted Improvements to the Accounting for Internal-Use Software. </w:t>
      </w:r>
      <w:r>
        <w:rPr>
          <w:rFonts w:ascii="Times New Roman" w:hAnsi="Times New Roman"/>
          <w:color w:val="000000"/>
          <w:sz w:val="20"/>
        </w:rPr>
        <w:t>This update removes all references to software development stages, allowing entities to start capitalizing software costs when 1) management has authorized and is committed to funding the software projects and 2) it is probable that the project will be completed and the software will be used to perform the functions intended. Under the current rule, entities are required to capitalize development costs incurred depending on the nature of the costs and the project stage during which they occur. The amendments in this update are effective for annual periods beginning after December 15, 2027, and interim periods within those annual reporting periods. Early adoption is permitted as of the beginning of the annual reporting period. The Company is in the process of evaluating ASU 2025-06 to determine its impact, if any, on the Company’s financial position, results of operations and cash flows.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2026, the FASB issued ASU No. 2026-02, </w:t>
      </w:r>
      <w:r>
        <w:rPr>
          <w:rFonts w:ascii="Times New Roman" w:hAnsi="Times New Roman"/>
          <w:i/>
          <w:color w:val="000000"/>
          <w:sz w:val="20"/>
        </w:rPr>
        <w:t xml:space="preserve">Environmental Credits and Environmental Credit Obligations (Topic 818). </w:t>
      </w:r>
      <w:r>
        <w:rPr>
          <w:rFonts w:ascii="Times New Roman" w:hAnsi="Times New Roman"/>
          <w:color w:val="000000"/>
          <w:sz w:val="20"/>
        </w:rPr>
        <w:t>This update provides recognition, measurement, presentation, and disclosure requirements for all entities that generate, purchase, receive environmental credits or have regulatory compliance obligations that may be settled with environmental credits. Environmental credits include carbon offsets, emission allowances, renewable energy certificates, and renewable identification numbers. Environmental obligations are regulatory obligations arising from laws to prevent, control, reduce, or remove emissions or pollution, which may be settled with environmental credits. Entities will need to disclose intended use of credits, financial statement impact of environmental assets and liabilities and changes in intent to use credits to settle existing obligations. The amendments in this update are effective for annual periods beginning after December 15, 2027, and interim periods within those annual reporting periods. The Company is in the process of evaluating ASU 2026-02 to determine its impact, if any, on the Company’s financial position, results of operations and cash flows.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SUBSEQUENT EVENT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28, 2026, the Board of Directors (the “Board”) of the Company approved a plan to reduce the Company’s global salaried workforce by around 100 roles during the third quarter of 2026 as part of Project Catalyst, the Company’s previously announced comprehensive operational and efficiency initiative.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previously disclosed, the Company anticipates recognizing full-year restructuring charges in the range of $75,000,000 to $80,000,000 in connection with Project Catalyst. Of that amount, the Company currently estimates that it will incur approximately $4,000,000 to $6,000,000 of charges in connection with the workforce reduction, consisting primarily of employee severance, benefits and related costs. The Company expects substantially all of these workforce reduction charges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result in cash expenditures. The Company expects to recognize the majority of these charges during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estimated charges that the Company expects to incur are subject to several assumptions, and actual results may differ materially from these estimates. The Company may incur additional costs due to events associated with or resulting from Project Catalyst and the workforce reduction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Item 2 -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management’s discussion and analysis (MD&amp;A) of certain significant factors that have affected the Company’s financial condition and results of operations during the interim periods included in the accompanying condensed consolidated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statements in this Quarterly Report on Form 10-Q, other than purely historical information, are “forward-looking statements” within the meaning of the Private Securities Litigation Reform Act of 1995, Section 27A of the Securities Act of 1933, as amended, and Section 21E of the Securities Exchange Act of 1934, as amended (the Exchange Act). These statements include statements about Stepan Company’s and its subsidiaries’ (the Company)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In some cases, forward-looking statements can be identified by the use of words such as “may,” “could,” “expect,” “intend,” “plan,” “seek,” “anticipate,” “believe,” “estimate,” “guidance,” “predict,” “potential,” “continue,” “likely,” “will,” “would,” “should,” “illustrative” and variations of these terms and similar expressions, or the negative of these terms or similar expressions. Such forward-looking statements are necessarily based upon estimates and assumptions that, while considered reasonable by the Company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Quarterly Report on Form 10-Q.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risks, uncertainties and other important factors, include, among others, the risks, uncertainties and factors set forth under “Part II-Item 1A - Risk Factors” of this Quarterly Report on Form 10-Q and under “Part I-Item 1A. Risk Factors” in the Company’s Annual Report on Form 10-K for the year ended December 31, 2025, including the risks and uncertainties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realize the anticipated cost savings or operating efficiencies associated with strategic initiatives, including Project Catalyst;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accidents, unplanned production shutdowns or disruptions in any of the Company’s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reduced demand for Company products due to customer product reformulations or new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successfully develop or introduce new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laws and other legal restrictions, including those relating to the international scope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make acquisitions of suitable candidates and successfully integrate acquisitions;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domestic and global competition and the Company’s ability to successfully compete;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of raw material, natural gas and electricity costs as well as any disruption in their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in transportation or significant changes in transportation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downturns in certain industries and general economic downturns;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 business risks, including changes in global trade policies, tariffs, retaliatory measures and countermeasures, currency exchange controls, fluctuations in currency exchange rates, legal restrictions and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resolution of litigation against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keep and protect its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tax policy and potentially adverse tax consequences due to the international scope of the Company’s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downgrades to the Company’s credit ratings or disruptions to the Company’s ability to access well-functioning credit or capital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military actions, terrorist attacks and general instability, particularly in certain energy-producing nations, along with increased security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overruns, delays and miscalculations in capacity needs with respect to the Company’s expansion or other capital projects;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damage to or compromise of the Company’s IT systems and failure to maintain the integrity of customer, colleague or Company data or illegal or fraudulent activities committed against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its executive management and other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operate within the limitations of debt covenants;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set forth under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factors are not necessarily all of the important factors that could cause the Company’s actual financial results, performance, achievements or prospects to differ materially from those expressed in or implied by any of the Company's forward-looking statements. Other unknown or unpredictable factors could also impact the Company’s results. All forward-looking statements attributable to the Company or persons acting on the Company’s behalf are expressly qualified in their entirety by the cautionary statements set forth above. Forward-looking statements speak only as of the date they are made, and the Company does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the Company updates one or more forward-looking statements, no inference should be drawn that the Company will make additional updates with respect to those or other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“we,” “our” or “us” means Stepan Company and one or more of its subsidiaries only.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produces and sells intermediate chemicals that are used in a wide variety of applications worldwide. The overall business is comprised of three reportable segments:</w:t>
      </w:r>
    </w:p>
    <w:p>
      <w:pPr>
        <w:pStyle w:val="TextBody"/>
        <w:bidi w:val="0"/>
        <w:spacing w:before="120" w:after="120"/>
        <w:jc w:val="both"/>
        <w:rPr>
          <w:rFonts w:ascii="Times New Roman" w:hAnsi="Times New Roman"/>
          <w:sz w:val="20"/>
        </w:rPr>
      </w:pPr>
      <w:r>
        <w:rPr>
          <w:rFonts w:ascii="Times New Roman" w:hAnsi="Times New Roman"/>
          <w:color w:val="000000"/>
          <w:sz w:val="20"/>
          <w:u w:val="single"/>
        </w:rPr>
        <w:t>Surfactants</w:t>
      </w:r>
      <w:r>
        <w:rPr>
          <w:rFonts w:ascii="Times New Roman" w:hAnsi="Times New Roman"/>
          <w:color w:val="000000"/>
          <w:sz w:val="20"/>
        </w:rPr>
        <w:t xml:space="preserve"> – Surfactants, which accounted for 73 percent of consolidated net sales for the first six months of 2026, are principal ingredients in consumer and industrial cleaning and disinfection products such as detergents for washing clothes, dishes, carpets, floors and walls, as well as shampoos and body washes. Other applications include fabric softeners, germicidal quaternary compounds, disinfectants, lubricating ingredients, emulsifiers for spreading agricultural products and industrial applications such as latex systems, plastics and composites. Surfactants are manufactured at five sites in the United States, two European sites (United Kingdom and France), five Latin American sites (one site in Colombia and two sites in each of Mexico and Brazil) and one Asian site (Singapore).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In February 2026, the Company announced Project Catalyst, a comprehensive operational and efficiency plan. As part of Project Catalyst, the Board of Directors approved plans to shut down the Company's Fieldsboro, New Jersey site and decommission select assets at its Elwood, Illinois (Millsdale) and Stalybridge, U.K. facilities during the first half of 2026. The Company is mostly consolidating impacted operations into its existing network, improving its asset utilization and reducing its fixed cost basis, while maintaining ongoing supply for its customers. The Company recognized $5.1 million and $70.5 million of pre-tax business restructuring expense related to these asset shutdowns during the second quarter and the first six months of 2026, respectively. This restructuring expense is captured on a separate </w:t>
      </w:r>
      <w:r>
        <w:rPr>
          <w:rFonts w:ascii="Times New Roman" w:hAnsi="Times New Roman"/>
          <w:i/>
          <w:color w:val="000000"/>
          <w:sz w:val="20"/>
        </w:rPr>
        <w:t xml:space="preserve">Business Restructuring </w:t>
      </w:r>
      <w:r>
        <w:rPr>
          <w:rFonts w:ascii="Times New Roman" w:hAnsi="Times New Roman"/>
          <w:color w:val="000000"/>
          <w:sz w:val="20"/>
        </w:rPr>
        <w:t xml:space="preserve">line item on the Condensed Consolidated Statements of Income for the three and six months ended June 30, 2026. See Note 16, </w:t>
      </w:r>
      <w:r>
        <w:rPr>
          <w:rFonts w:ascii="Times New Roman" w:hAnsi="Times New Roman"/>
          <w:i/>
          <w:color w:val="000000"/>
          <w:sz w:val="20"/>
        </w:rPr>
        <w:t xml:space="preserve">Business Restructuring, </w:t>
      </w:r>
      <w:r>
        <w:rPr>
          <w:rFonts w:ascii="Times New Roman" w:hAnsi="Times New Roman"/>
          <w:color w:val="000000"/>
          <w:sz w:val="20"/>
        </w:rPr>
        <w:t>of the notes to the Company's consolidated financial statements for more details.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Polymers</w:t>
      </w:r>
      <w:r>
        <w:rPr>
          <w:rFonts w:ascii="Times New Roman" w:hAnsi="Times New Roman"/>
          <w:color w:val="000000"/>
          <w:sz w:val="20"/>
        </w:rPr>
        <w:t xml:space="preserve"> – Polymers, which accounted for 24 percent of consolidated net sales for the first six months of 2026, include polyurethane polyols, polyester resins and phthalic anhydride. Polyurethane polyols are used in the manufacture of rigid foam for thermal insulation in the construction industry and are also a base raw material for coatings, adhesives, sealants and elastomers (collectively, CASE products). Powdered polyester resins are used in coating applications. CASE and powdered polyester resins are collectively referred to as specialty polyols. Phthalic anhydride is used in unsaturated polyester resins, alkyd resins and plasticizers for applications in construction materials and components of automotive, boating and other consumer products. In addition, the Company uses phthalic anhydride internally in the production of polyols. In the United States, polyurethane polyols are manufactured at the Company’s Elwood, Illinois (Millsdale) and Wilmington, North Carolina sites. Phthalic anhydride is manufactured at the Company’s Millsdale site and specialty polyols are manufactured at the Company’s Columbus, Georgia, site. In Europe, polyurethane polyols are manufactured at the Company’s plants in Germany and the Netherlands and specialty polyols are manufactured at the Company’s Poland site. In Asia, polyurethane polyols and specialty polyols are manufactured at the Company’s China plant.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Specialty Products</w:t>
      </w:r>
      <w:r>
        <w:rPr>
          <w:rFonts w:ascii="Times New Roman" w:hAnsi="Times New Roman"/>
          <w:color w:val="000000"/>
          <w:sz w:val="20"/>
        </w:rPr>
        <w:t xml:space="preserve"> – Specialty products, which accounted for three percent of consolidated net sales for the first six months of 2026, include flavors, emulsifiers and solubilizers used in food, flavoring, nutritional supplement and pharmaceutical applications. Specialty products are primarily manufactured at the Company’s Maywood, New Jersey, site.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Deferred Compensation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accounting for the Company’s deferred compensation plans can cause period-to-period fluctuations in Company income and expenses. Compensation expense is recognized when the value of the Company's common stock and mutual fund investment assets held for the plans increase, and compensation income is recognized when the value of the Company's common stock and mutual fund investment assets decline. The pretax effect of all deferred compensation-related activities (including realized and unrealized gains and losses on the mutual fund assets held to fund the deferred compensation obligations) and the income statement line items in which the effects of the activities were recorded are displayed in the following table:</w:t>
      </w:r>
    </w:p>
    <w:p>
      <w:pPr>
        <w:pStyle w:val="TextBody"/>
        <w:bidi w:val="0"/>
        <w:jc w:val="both"/>
        <w:rPr/>
      </w:pPr>
      <w:r>
        <w:rPr/>
        <w:t> </w:t>
      </w:r>
    </w:p>
    <w:tbl>
      <w:tblPr>
        <w:tblW w:w="7723" w:type="dxa"/>
        <w:jc w:val="left"/>
        <w:tblInd w:w="0" w:type="dxa"/>
        <w:tblLayout w:type="fixed"/>
        <w:tblCellMar>
          <w:top w:w="28" w:type="dxa"/>
          <w:left w:w="28" w:type="dxa"/>
          <w:bottom w:w="28" w:type="dxa"/>
          <w:right w:w="28" w:type="dxa"/>
        </w:tblCellMar>
      </w:tblPr>
      <w:tblGrid>
        <w:gridCol w:w="4531"/>
        <w:gridCol w:w="146"/>
        <w:gridCol w:w="217"/>
        <w:gridCol w:w="433"/>
        <w:gridCol w:w="170"/>
        <w:gridCol w:w="150"/>
        <w:gridCol w:w="217"/>
        <w:gridCol w:w="433"/>
        <w:gridCol w:w="166"/>
        <w:gridCol w:w="146"/>
        <w:gridCol w:w="211"/>
        <w:gridCol w:w="421"/>
        <w:gridCol w:w="166"/>
        <w:gridCol w:w="31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Income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Realized/Unrealized Gains on Investments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679" w:type="dxa"/>
        <w:jc w:val="left"/>
        <w:tblInd w:w="0" w:type="dxa"/>
        <w:tblLayout w:type="fixed"/>
        <w:tblCellMar>
          <w:top w:w="28" w:type="dxa"/>
          <w:left w:w="28" w:type="dxa"/>
          <w:bottom w:w="28" w:type="dxa"/>
          <w:right w:w="28" w:type="dxa"/>
        </w:tblCellMar>
      </w:tblPr>
      <w:tblGrid>
        <w:gridCol w:w="4531"/>
        <w:gridCol w:w="146"/>
        <w:gridCol w:w="211"/>
        <w:gridCol w:w="421"/>
        <w:gridCol w:w="166"/>
        <w:gridCol w:w="146"/>
        <w:gridCol w:w="211"/>
        <w:gridCol w:w="421"/>
        <w:gridCol w:w="166"/>
        <w:gridCol w:w="146"/>
        <w:gridCol w:w="211"/>
        <w:gridCol w:w="421"/>
        <w:gridCol w:w="166"/>
        <w:gridCol w:w="31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Income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Realized/Unrealized Gains on Investments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pPr>
      <w:r>
        <w:rPr>
          <w:rFonts w:ascii="Times New Roman" w:hAnsi="Times New Roman"/>
          <w:color w:val="000000"/>
          <w:sz w:val="18"/>
        </w:rPr>
        <w:t xml:space="preserve">See the </w:t>
      </w:r>
      <w:r>
        <w:rPr>
          <w:rFonts w:ascii="Times New Roman" w:hAnsi="Times New Roman"/>
          <w:i/>
          <w:color w:val="000000"/>
          <w:sz w:val="18"/>
        </w:rPr>
        <w:t>Segment Results-Corporate Expenses</w:t>
      </w:r>
      <w:r>
        <w:rPr>
          <w:color w:val="000000"/>
        </w:rPr>
        <w:t xml:space="preserve"> </w:t>
      </w:r>
      <w:r>
        <w:rPr>
          <w:rFonts w:ascii="Times New Roman" w:hAnsi="Times New Roman"/>
          <w:color w:val="000000"/>
          <w:sz w:val="18"/>
        </w:rPr>
        <w:t>section of this MD&amp;A for details regarding the period-over-period changes in deferred compensation.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Effects of Foreign Currency Translation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foreign subsidiaries transact business and report financial results in their respective local currencies. As a result, foreign subsidiary income statements are translated into U.S. dollars at average foreign exchange rates appropriate for the reporting period. Because foreign exchange rates fluctuate against the U.S. dollar over time, foreign currency translation affects period-to-period comparisons of financial statement items (i.e., because foreign exchange rates fluctuate, similar period-to-period local currency results for a foreign subsidiary may translate into different U.S. dollar results). The following table presents the effects that foreign currency translation had on the period-over-period changes in consolidated net sales and various income statement line items for the three and six months ended June 30, 2026 and 2025:</w:t>
      </w:r>
    </w:p>
    <w:p>
      <w:pPr>
        <w:pStyle w:val="TextBody"/>
        <w:bidi w:val="0"/>
        <w:jc w:val="left"/>
        <w:rPr/>
      </w:pPr>
      <w:r>
        <w:rPr/>
        <w:t> </w:t>
      </w:r>
    </w:p>
    <w:tbl>
      <w:tblPr>
        <w:tblW w:w="6230" w:type="dxa"/>
        <w:jc w:val="left"/>
        <w:tblInd w:w="0" w:type="dxa"/>
        <w:tblLayout w:type="fixed"/>
        <w:tblCellMar>
          <w:top w:w="28" w:type="dxa"/>
          <w:left w:w="28" w:type="dxa"/>
          <w:bottom w:w="28" w:type="dxa"/>
          <w:right w:w="28" w:type="dxa"/>
        </w:tblCellMar>
      </w:tblPr>
      <w:tblGrid>
        <w:gridCol w:w="1576"/>
        <w:gridCol w:w="146"/>
        <w:gridCol w:w="211"/>
        <w:gridCol w:w="571"/>
        <w:gridCol w:w="146"/>
        <w:gridCol w:w="146"/>
        <w:gridCol w:w="211"/>
        <w:gridCol w:w="571"/>
        <w:gridCol w:w="146"/>
        <w:gridCol w:w="146"/>
        <w:gridCol w:w="211"/>
        <w:gridCol w:w="466"/>
        <w:gridCol w:w="146"/>
        <w:gridCol w:w="146"/>
        <w:gridCol w:w="374"/>
        <w:gridCol w:w="826"/>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 xml:space="preserve">Due to Foreign </w:t>
              <w:br/>
              <w:t>Translation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tbl>
      <w:tblPr>
        <w:tblW w:w="7273" w:type="dxa"/>
        <w:jc w:val="left"/>
        <w:tblInd w:w="0" w:type="dxa"/>
        <w:tblLayout w:type="fixed"/>
        <w:tblCellMar>
          <w:top w:w="28" w:type="dxa"/>
          <w:left w:w="28" w:type="dxa"/>
          <w:bottom w:w="28" w:type="dxa"/>
          <w:right w:w="28" w:type="dxa"/>
        </w:tblCellMar>
      </w:tblPr>
      <w:tblGrid>
        <w:gridCol w:w="2116"/>
        <w:gridCol w:w="146"/>
        <w:gridCol w:w="211"/>
        <w:gridCol w:w="721"/>
        <w:gridCol w:w="166"/>
        <w:gridCol w:w="146"/>
        <w:gridCol w:w="211"/>
        <w:gridCol w:w="721"/>
        <w:gridCol w:w="146"/>
        <w:gridCol w:w="146"/>
        <w:gridCol w:w="226"/>
        <w:gridCol w:w="614"/>
        <w:gridCol w:w="166"/>
        <w:gridCol w:w="146"/>
        <w:gridCol w:w="374"/>
        <w:gridCol w:w="82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 xml:space="preserve">Due to Foreign </w:t>
              <w:br/>
              <w:t>Translation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RESULTS OF OPERATIONS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Three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in the second quarter of 2026 was $22.9 million, or $1.00 per diluted share, versus $11.3 million, or $0.50 per diluted share, in the second quarter of 2025. Adjusted net income was $27.1 million, or $1.18 per diluted share, versus $12.0 million, or $0.52 per diluted share in the second quarter of 2025 (see the “Reconciliation of Non-GAAP Adjusted Net Income and Diluted Earnings per Share” section of this MD&amp;A for a reconciliation between reported net income (loss) and reported earnings (loss) per diluted share and non-GAAP adjusted net income and adjusted earnings per diluted share). Earnings before interest, taxes, depreciation and amortization (EBITDA) were $69.1 million in the second quarter of 2026, up 37 percent, versus $50.6 million in the second quarter of 2025. Adjusted EBITDA was $74.4 million, up 45 percent, versus $51.4 million in the second quarter of 2025 (see the "Reconciliation of non-GAAP EBITDA and Adjusted EBITDA" section of this MD&amp;A for a reconciliation between reported operating income and non-GAAP EBITDA and Adjusted EBITDA). Below is a summary discussion of the major factors leading to the changes in net sales, expenses and income in the second quarter of 2026 compared to the second quarter of 2025. A detailed discussion of segment operating performance for the second quarter of 2026, compared to the second quarter of 2025, follows the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Consolidated net sales increased $89.4 million, or 15 percent, year-over-year. Higher average selling prices favorably impacted the year-over-year change in net sales by $54.4 million. The increase in average selling prices was mostly attributable to the pass-through of higher raw material costs, more favorable product mix, and pricing actions. Consolidated sales volume increased three percent and positively impacted the change in net sales by $17.9 million. Surfactant, Polymer and Specialty Products sales volume increased two, five and four percent, respectively, year-over-year. Organic sales volume (excluding the divestiture of assets in the Philippines and the exit of a product line in the UK) increased six percent year-over-year. Foreign currency translation positively impacted the year-over-year change in net sales by $17.1 million, primarily due to a weaker U.S. dollar against most of the currencies in locations where the Company conducts its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income in the second quarter of 2026 increased $19.2 million, or 107 percent, versus operating income in the second quarter of 2025. Surfactant and Polymer operating income increased $21.0 million and $5.3 million, respectively, year-over-year. Specialty Products operating income decreased $0.3 million versus the second quarter of 2025. Corporate expenses, including business restructuring, environmental remediation and deferred compensation expenses increased $6.8 million, year-over-year. Business restructuring expenses were $5.1 million in the second quarter of 2026 versus no restructuring expenses recognized during the second quarter of 2025. Foreign currency translation had a $2.1 million positive impact on operating income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(including deferred compensation) increased $3.7 million, or seven percent, year-over-year. Changes in the individual income statement line items that comprise the Company’s operating expenses were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expenses were up one percent year-over-year. Higher incentive-based compensation expenses were mostly offset by the non-recurrence of a USEPA penalty recognized in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Administrative expenses were up $1.4 million, or six percent, primarily due to higher incentive-based compensation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development and technical service (R&amp;D) expenses increased $2.5 million, or 17 percent primarily due to higher incentive-based compensation expenses.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Deferred compensation was $1.4 million of expense in the second quarter of 2026 versus $1.8 million of expense in the prior year quarter. The $0.4 million year-over-year decrease in deferred compensation expense primarily reflects a smaller increase in the market value of mutual fund investment assets during the second quarter of 2026 versus the second quarter of 2025. See the </w:t>
      </w:r>
      <w:r>
        <w:rPr>
          <w:rFonts w:ascii="Times New Roman" w:hAnsi="Times New Roman"/>
          <w:i/>
          <w:color w:val="000000"/>
          <w:sz w:val="20"/>
        </w:rPr>
        <w:t>Overview</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Segment Results-Corporate Expenses</w:t>
      </w:r>
      <w:r>
        <w:rPr>
          <w:color w:val="000000"/>
        </w:rPr>
        <w:t xml:space="preserve"> </w:t>
      </w:r>
      <w:r>
        <w:rPr>
          <w:rFonts w:ascii="Times New Roman" w:hAnsi="Times New Roman"/>
          <w:color w:val="000000"/>
          <w:sz w:val="20"/>
        </w:rPr>
        <w:t>section of this MD&amp;A for further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interest expense for the second quarter of 2026 increased $0.2 million, or four percent, versus the second quarter of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net was $1.0 million of income in the second quarter of 2026 versus $1.3 million of income in the second quarter of 2025. The Company recognized $1.4 million of investment gains (including realized and unrealized gains and losses) for the Company’s deferred compensation and supplemental defined contribution mutual fund assets in the second quarter of 2026 compared to $1.7 million of investment gains in the second quarter of 2025. In addition, the Company reported $0.4 million of foreign exchange losses in the second quarter of 2026 versus $0.6 million of foreign exchange losses in the second quarter of 2025. The Company's net periodic pension income was less than $0.1 million of income in the second quarter of 2026 versus $0.3 million of income in the second quarter of 2025.</w:t>
      </w:r>
    </w:p>
    <w:p>
      <w:pPr>
        <w:pStyle w:val="TextBody"/>
        <w:bidi w:val="0"/>
        <w:jc w:val="both"/>
        <w:rPr>
          <w:rFonts w:ascii="Times New Roman" w:hAnsi="Times New Roman"/>
          <w:color w:val="000000"/>
          <w:sz w:val="20"/>
        </w:rPr>
      </w:pPr>
      <w:r>
        <w:rPr>
          <w:rFonts w:ascii="Times New Roman" w:hAnsi="Times New Roman"/>
          <w:color w:val="000000"/>
          <w:sz w:val="20"/>
        </w:rPr>
        <w:t>The Company’s effective tax rate was 29.6 percent in the second quarter of 2026 versus 17.7 percent in the second quarter of 2025. The increase was primarily driven by a decrease in tax credit due to lower qualifying expenses associated with certain start-up costs which did not recur in 2026, and the non-recurrence of interest income recorded in Q2 2025 related to an audit settlement.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jc w:val="left"/>
        <w:rPr/>
      </w:pPr>
      <w:r>
        <w:rPr/>
        <w:t> </w:t>
      </w:r>
    </w:p>
    <w:tbl>
      <w:tblPr>
        <w:tblW w:w="6666" w:type="dxa"/>
        <w:jc w:val="left"/>
        <w:tblInd w:w="0" w:type="dxa"/>
        <w:tblLayout w:type="fixed"/>
        <w:tblCellMar>
          <w:top w:w="28" w:type="dxa"/>
          <w:left w:w="28" w:type="dxa"/>
          <w:bottom w:w="28" w:type="dxa"/>
          <w:right w:w="28" w:type="dxa"/>
        </w:tblCellMar>
      </w:tblPr>
      <w:tblGrid>
        <w:gridCol w:w="1951"/>
        <w:gridCol w:w="146"/>
        <w:gridCol w:w="211"/>
        <w:gridCol w:w="781"/>
        <w:gridCol w:w="146"/>
        <w:gridCol w:w="146"/>
        <w:gridCol w:w="211"/>
        <w:gridCol w:w="781"/>
        <w:gridCol w:w="146"/>
        <w:gridCol w:w="146"/>
        <w:gridCol w:w="211"/>
        <w:gridCol w:w="676"/>
        <w:gridCol w:w="146"/>
        <w:gridCol w:w="146"/>
        <w:gridCol w:w="199"/>
        <w:gridCol w:w="432"/>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9911" w:type="dxa"/>
        <w:jc w:val="left"/>
        <w:tblInd w:w="0" w:type="dxa"/>
        <w:tblLayout w:type="fixed"/>
        <w:tblCellMar>
          <w:top w:w="28" w:type="dxa"/>
          <w:left w:w="28" w:type="dxa"/>
          <w:bottom w:w="28" w:type="dxa"/>
          <w:right w:w="28" w:type="dxa"/>
        </w:tblCellMar>
      </w:tblPr>
      <w:tblGrid>
        <w:gridCol w:w="5386"/>
        <w:gridCol w:w="146"/>
        <w:gridCol w:w="211"/>
        <w:gridCol w:w="676"/>
        <w:gridCol w:w="146"/>
        <w:gridCol w:w="146"/>
        <w:gridCol w:w="211"/>
        <w:gridCol w:w="676"/>
        <w:gridCol w:w="146"/>
        <w:gridCol w:w="146"/>
        <w:gridCol w:w="211"/>
        <w:gridCol w:w="676"/>
        <w:gridCol w:w="166"/>
        <w:gridCol w:w="146"/>
        <w:gridCol w:w="162"/>
        <w:gridCol w:w="469"/>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 Excluding Deferred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Surfactants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Surfactant net sales for the second quarter of 2026 increased $72.4 million, or 18 percent, versus net sales for the second quarter of 2025. Higher average selling prices had a $47.3 million favorable impact on the change in net sales. The higher average selling prices were mainly attributable to the pass through of higher raw material costs, more favorable product mix and pricing actions. Sales volume increased two percent and had a $9.9 million favorable impact on the change in net sales. Organic sales volume increased seven percent year-over-year. The Company believes a portion of the volume growth reflects customer pre-buying in response to geopolitical and product supply uncertainty. Foreign currency translation had a $15.2 million favorable impact on the year-over-year change in net sales. A comparison of net sales by region follows:</w:t>
      </w:r>
    </w:p>
    <w:p>
      <w:pPr>
        <w:pStyle w:val="TextBody"/>
        <w:bidi w:val="0"/>
        <w:jc w:val="left"/>
        <w:rPr/>
      </w:pPr>
      <w:r>
        <w:rPr/>
        <w:t> </w:t>
      </w:r>
    </w:p>
    <w:tbl>
      <w:tblPr>
        <w:tblW w:w="7386" w:type="dxa"/>
        <w:jc w:val="left"/>
        <w:tblInd w:w="0" w:type="dxa"/>
        <w:tblLayout w:type="fixed"/>
        <w:tblCellMar>
          <w:top w:w="28" w:type="dxa"/>
          <w:left w:w="28" w:type="dxa"/>
          <w:bottom w:w="28" w:type="dxa"/>
          <w:right w:w="28" w:type="dxa"/>
        </w:tblCellMar>
      </w:tblPr>
      <w:tblGrid>
        <w:gridCol w:w="2451"/>
        <w:gridCol w:w="146"/>
        <w:gridCol w:w="211"/>
        <w:gridCol w:w="781"/>
        <w:gridCol w:w="146"/>
        <w:gridCol w:w="146"/>
        <w:gridCol w:w="211"/>
        <w:gridCol w:w="781"/>
        <w:gridCol w:w="146"/>
        <w:gridCol w:w="146"/>
        <w:gridCol w:w="211"/>
        <w:gridCol w:w="676"/>
        <w:gridCol w:w="166"/>
        <w:gridCol w:w="146"/>
        <w:gridCol w:w="176"/>
        <w:gridCol w:w="455"/>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Surfactants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sales for North American operations increased $39.4 million, or 17 percent, year-over-year. Higher average selling prices positively impacted the change in net sales by $30.9 million and were primarily due to the pass-through of higher raw material costs, more favorable product mix and pricing actions. Sales volume increased four percent and positively impacted the change in net sales by $8.5 million. The higher sales volume was primarily due to higher demand for products sold into the industrial cleaning and oilfield end markets.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European operations increased $7.4 million, or 10 percent, due to higher average selling prices, the favorable impact of foreign currency translation, and a one percent increase in sales volume. These items positively impacted the change in net sales by $5.2 million, $1.4 million and $0.8 million, respectively. The higher average selling prices were primarily due to the pass-through of higher raw material costs and pricing actions. A weaker U.S. dollar relative to the European euro and British pound sterling led to the favorable foreign currency translation effect. The higher sales volume was primarily due to higher demand for products sold into the consumer products end markets, partially offset by lower demand for products sold into the crop productivity end markets.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Latin American operations increased $33.0 million, or 36 percent, primarily due to the favorable impact of foreign currency translation, a 13 percent increase in sales volume, and higher average selling prices. These items positively impacted the change in net sales by $13.7 million, $11.8 million, and $7.5 million, respectively. A weaker U.S. dollar relative to all currencies within the region led to the favorable foreign currency translation effect. The increase in sales volume was primarily due to higher demand for products sold into the commodity laundry and cleaning, industrial cleaning, and crop productivity end markets and to our distribution partners. The higher average selling prices were primarily due to the pass-through of higher raw material costs, more favorable product mix and pricing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Asian operations decreased $7.2 million, or 61 percent, versus the prior year quarter. A 76 percent decrease in sales volume negatively impacted the year-over-year change in net sales by $9.1 million. The lower sales volume was mainly due to the divestiture of assets in the Philippines during the fourth quarter of 2025. Higher average selling prices positively impacted the change in net sales by $1.8 million. Foreign currency translation had a $0.1 million favorable impact on the change in net sales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Surfactant operating income for the second quarter of 2026 increased $21.0 million, or 157 percent, versus operating income for the second quarter of 2025. Gross profit increased $22.8 million, or 56 percent, and operating expenses increased $1.8 million, or seven percent. Comparisons of gross profit by region and total segment operating expenses and operating income follow:</w:t>
      </w:r>
    </w:p>
    <w:p>
      <w:pPr>
        <w:pStyle w:val="TextBody"/>
        <w:bidi w:val="0"/>
        <w:jc w:val="both"/>
        <w:rPr/>
      </w:pPr>
      <w:r>
        <w:rPr/>
        <w:t> </w:t>
      </w:r>
    </w:p>
    <w:tbl>
      <w:tblPr>
        <w:tblW w:w="7996" w:type="dxa"/>
        <w:jc w:val="left"/>
        <w:tblInd w:w="0" w:type="dxa"/>
        <w:tblLayout w:type="fixed"/>
        <w:tblCellMar>
          <w:top w:w="28" w:type="dxa"/>
          <w:left w:w="28" w:type="dxa"/>
          <w:bottom w:w="28" w:type="dxa"/>
          <w:right w:w="28" w:type="dxa"/>
        </w:tblCellMar>
      </w:tblPr>
      <w:tblGrid>
        <w:gridCol w:w="3271"/>
        <w:gridCol w:w="146"/>
        <w:gridCol w:w="211"/>
        <w:gridCol w:w="676"/>
        <w:gridCol w:w="146"/>
        <w:gridCol w:w="146"/>
        <w:gridCol w:w="211"/>
        <w:gridCol w:w="676"/>
        <w:gridCol w:w="146"/>
        <w:gridCol w:w="146"/>
        <w:gridCol w:w="211"/>
        <w:gridCol w:w="676"/>
        <w:gridCol w:w="166"/>
        <w:gridCol w:w="146"/>
        <w:gridCol w:w="162"/>
        <w:gridCol w:w="469"/>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Gross Profit and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Surfactants 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 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for North American operations increased $11.0 million, or 57 percent, versus the prior year primarily due to higher average unit margins. The higher average unit margins favorably impacted the change in gross profit by $10.3 million and were attributable to more favorable product mix, pricing actions, the initial benefits from Project Catalyst actions and the non-recurrence of an environmental remediation reserve adjustment recognized in the second quarter of 2025. The four percent increase in sales volume positively impacted the year-over-year change in gross profit by $0.7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European operations increased $1.8 million, or 22 percent, primarily due to higher average unit margins and the favorable impact of foreign currency translation. These items positively impacted the year-over-year change in gross profit by $1.5 million and $0.2 million, respectively. The one percent increase in sales volume positively impacted the change in gross profit by $0.1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Latin American operations increased $10.1 million, or 92 percent. Higher average unit margins, the favorable impact of foreign currency translation and the 13 percent increase in sales volume favorably impacted the year-over-year change in gross profit by $6.3 million, $2.4 million and $1.4 million, respectively. The higher average unit margins largely reflect more favorable product mix.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Asia operations decreased $0.2 million year-over-year primarily due to the double-digit decrease in sales volume resulting from the asset divestiture in the Philippines during the fourth quarter of 2025. The decline in sales volume negatively impacted the year-over-year change in gross profit by $1.8 million but was largely offset by higher average unit margins. The higher average unit margins positively impacted the change in gross profit by $1.6 million and largely reflect lower overhead expenses resulting from production timing differences.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for the Surfactants segment increased $1.8 million, or seven percent, in the second quarter of 2026 versus the second quarter of 2025. This increase was largely due to higher incentive-based compensation expenses that were partially offset by the non-recurrence of a $1.1 million USEPA penalty recognized in the second quarter of 2025. In addition, foreign currency translation had a $0.7 million unfavorable impact on the year-over-year change in operating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Polymers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Polymer net sales for the second quarter of 2026 increased $15.3 million, or nine percent, versus net sales for the same period of 2025. A five percent increase in sales volume, higher average selling prices and the favorable impact of foreign currency translation positively impacted the year-over-year change in net sales by $7.4 million, $6.0 million and $1.9 million, respectively. A comparison of net sales by region follows:</w:t>
      </w:r>
    </w:p>
    <w:tbl>
      <w:tblPr>
        <w:tblW w:w="7216" w:type="dxa"/>
        <w:jc w:val="left"/>
        <w:tblInd w:w="0" w:type="dxa"/>
        <w:tblLayout w:type="fixed"/>
        <w:tblCellMar>
          <w:top w:w="28" w:type="dxa"/>
          <w:left w:w="28" w:type="dxa"/>
          <w:bottom w:w="28" w:type="dxa"/>
          <w:right w:w="28" w:type="dxa"/>
        </w:tblCellMar>
      </w:tblPr>
      <w:tblGrid>
        <w:gridCol w:w="2301"/>
        <w:gridCol w:w="146"/>
        <w:gridCol w:w="211"/>
        <w:gridCol w:w="781"/>
        <w:gridCol w:w="146"/>
        <w:gridCol w:w="146"/>
        <w:gridCol w:w="211"/>
        <w:gridCol w:w="781"/>
        <w:gridCol w:w="146"/>
        <w:gridCol w:w="146"/>
        <w:gridCol w:w="211"/>
        <w:gridCol w:w="676"/>
        <w:gridCol w:w="146"/>
        <w:gridCol w:w="146"/>
        <w:gridCol w:w="199"/>
        <w:gridCol w:w="432"/>
        <w:gridCol w:w="39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Polymers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sales for North American operations increased $11.0 million, or 12 percent, year-over-year. Sales volume increased 15 percent and positively impacted the year-over-year change in net sales by $13.0 million. Sales volume of polyols used in rigid foam applications and within the commodity phthalic anhydride business increased 19 percent and 12 percent, respectively. Within rigid applications, spray foam sales increased triple digits. Lower average selling prices negatively impacted the change in net sales by $2.0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European operations increased $4.0 million, or six percent, year-over-year. Higher average selling prices and the favorable impact of foreign currency translation positively impacted the year-over-year change in net sales by $5.0 million and $1.2 million, respectively. The higher average selling prices were mainly attributable to the pass through of higher raw material costs. A weaker U.S. dollar relative to the Polish zloty and British pound sterling led to the favorable foreign currency translation effect. A three percent decrease in sales volume negatively impacted the year-over-year change in net sales by $2.2 million. The lower sales volume reflects lower construction demand related to the macroeconomic environment and economic uncertainties.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Asia and Other operations increased $0.3 million, or two percent, primarily due to higher average selling prices and the favorable impact of foreign currency translation. These items positively impacted the change in net sales by $1.4 million and $0.7 million, respectively. A 16 percent decrease in sales volume negatively impacted the year-over-year change in net sales by $1.8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Polymer operating income in the second quarter of 2026 increased $5.3 million, or 31 percent, versus operating income in the second quarter of 2025. Gross profit increased $6.2 million, or 25 percent, and operating expenses increased $0.8 million, or 11 percent, year-over-year. Comparisons of gross profit by region and total segment operating expenses and operating income follow:</w:t>
      </w:r>
    </w:p>
    <w:p>
      <w:pPr>
        <w:pStyle w:val="TextBody"/>
        <w:bidi w:val="0"/>
        <w:jc w:val="left"/>
        <w:rPr/>
      </w:pPr>
      <w:r>
        <w:rPr/>
        <w:t> </w:t>
      </w:r>
    </w:p>
    <w:tbl>
      <w:tblPr>
        <w:tblW w:w="7799" w:type="dxa"/>
        <w:jc w:val="left"/>
        <w:tblInd w:w="0" w:type="dxa"/>
        <w:tblLayout w:type="fixed"/>
        <w:tblCellMar>
          <w:top w:w="28" w:type="dxa"/>
          <w:left w:w="28" w:type="dxa"/>
          <w:bottom w:w="28" w:type="dxa"/>
          <w:right w:w="28" w:type="dxa"/>
        </w:tblCellMar>
      </w:tblPr>
      <w:tblGrid>
        <w:gridCol w:w="3121"/>
        <w:gridCol w:w="146"/>
        <w:gridCol w:w="211"/>
        <w:gridCol w:w="676"/>
        <w:gridCol w:w="146"/>
        <w:gridCol w:w="146"/>
        <w:gridCol w:w="211"/>
        <w:gridCol w:w="676"/>
        <w:gridCol w:w="146"/>
        <w:gridCol w:w="146"/>
        <w:gridCol w:w="226"/>
        <w:gridCol w:w="614"/>
        <w:gridCol w:w="166"/>
        <w:gridCol w:w="146"/>
        <w:gridCol w:w="176"/>
        <w:gridCol w:w="455"/>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Gross Profit and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Polymers 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 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North American operations increased $5.5 million year-over-year. Higher average unit margins and the 15 percent increase in sales volume positively impacted the change in gross profit by $3.5 million and $2.0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European operations increased $0.9 million, or 10 percent, versus the second quarter of 2025. This increase was primarily due to higher average unit margins and the favorable impact of the foreign currency translation. These two factors positively impacted the change in gross profit by $1.0 million and $0.2 million, respectively. The three percent decrease in sales volume negatively impacted the year-over-year change in net sales by $0.3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for Asia and Other operations decreased $0.2 million, or 10 percent, primarily due to the 16 percent decrease in sales volume. The decrease in sales volume negatively impacted the year-over-year change in gross profit by $0.3 million. Foreign currency translation positively impacted the change in gross profit by $0.1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expenses for the Polymer segment increased $0.8 million, or 11 percent, in the second quarter of 2026 versus the second quarter of 2025 primarily due to higher incentive-based compensation expenses.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Specialty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Specialty Products net sales for the second quarter of 2026 increased $1.7 million, or eight percent, versus net sales for the second quarter of 2025. Gross profit and operating income decreased $0.2 million and $0.3 million, respectively, year-over-year. The year-over-year decreases in gross profit and operating income were primarily due to less favorable product mix within the medium chain triglycerides (MCT) product line that was mostly offset by higher earnings in the food and flavor business.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Corporate Expenses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Corporate expenses, which include business restructuring, deferred compensation and other operating expenses that are not allocated to the reportable segments, increased $6.8 million year-over-year. Corporate expenses were $24.6 million in the second quarter of 2026 versus $17.8 million in the second quarter of 2025. This increase was primarily due to a $5.1 million restructuring charge recognized in the second quarter of 2026 and higher year-over-year incentive-based compensation expenses. See Note 16, </w:t>
      </w:r>
      <w:r>
        <w:rPr>
          <w:rFonts w:ascii="Times New Roman" w:hAnsi="Times New Roman"/>
          <w:i/>
          <w:color w:val="000000"/>
          <w:sz w:val="20"/>
        </w:rPr>
        <w:t xml:space="preserve">Business Restructuring, </w:t>
      </w:r>
      <w:r>
        <w:rPr>
          <w:rFonts w:ascii="Times New Roman" w:hAnsi="Times New Roman"/>
          <w:color w:val="000000"/>
          <w:sz w:val="20"/>
        </w:rPr>
        <w:t xml:space="preserve">of the notes to the Company's consolidated financial statements for more details regarding the restructuring charge. These items were partially offset by a $0.4 million year-over-year decrease in deferred compensation expenses and a $0.6 million decrease in legacy environmental reserve expenses.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$0.4 million decrease in deferred compensation expense was primarily due to a smaller increase in the market value of mutual fund investment assets during the second quarter of 2026 versus the second quarter of 2025. Partially offsetting the above, the market price of the Company's common stock increased $5.74 per share in the second quarter of 2026 versus a $0.46 per share decrease in the second quarter of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quarter-end Company common stock market prices used in the computation of deferred compensation income/expense for the three months ended June 30, 2026 and 2025:</w:t>
      </w:r>
    </w:p>
    <w:p>
      <w:pPr>
        <w:pStyle w:val="TextBody"/>
        <w:bidi w:val="0"/>
        <w:jc w:val="left"/>
        <w:rPr/>
      </w:pPr>
      <w:r>
        <w:rPr/>
        <w:t> </w:t>
      </w:r>
    </w:p>
    <w:tbl>
      <w:tblPr>
        <w:tblW w:w="7012"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571"/>
        <w:gridCol w:w="146"/>
        <w:gridCol w:w="146"/>
        <w:gridCol w:w="211"/>
        <w:gridCol w:w="571"/>
        <w:gridCol w:w="146"/>
        <w:gridCol w:w="146"/>
        <w:gridCol w:w="211"/>
        <w:gridCol w:w="57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Six Months Ended June 30,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incurred an $18.5 million net loss in the first half of 2026, or a loss of $0.81 per diluted share, versus net income of $31.1 million, or $1.36 income per diluted share, in the first half of 2025. The current year loss resulted from $55.2 million of after-tax restructuring charges recognized in 2026. Adjusted net income was $37.4 million, or $1.63 per diluted share, versus $31.3 million, or $1.37 per diluted share in the first half of 2025 (see the “Reconciliation of Non-GAAP Adjusted Net Income and Diluted Earnings per Share” section of this MD&amp;A for a reconciliation between reported net income (loss) and reported earnings (loss) per diluted share and non-GAAP adjusted net income and adjusted earnings per diluted share). Earnings before interest, taxes, depreciation and amortization (EBITDA) were $52.7 million in the first half of 2026, down 51 percent from $108.6 million in the first half of 2025. Adjusted EBITDA was $124.1 million, up 14 percent, from $108.9 million in the first half of 2025 (see the "Reconciliation of non-GAAP EBITDA and Adjusted EBITDA" section of this MD&amp;A for a reconciliation between reported operating income and non-GAAP EBITDA and Adjusted EBITDA). Below is a summary discussion of the major factors leading to the changes in net sales, expenses and income in the first half of 2026 compared to the first half of 2025. A detailed discussion of segment operating performance for the first half of 2026, compared to the first half of 2025, follows the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Consolidated net sales increased $100.7 million, or eight percent, year-over-year. Higher average selling prices favorably impacted the year-over-year change in net sales by $56.1 million. The increase in average selling prices was mainly attributable to the pass-through of higher raw material costs, more favorable product mix and pricing actions. Foreign currency translation positively impacted the year-over-year change in net sales by $42.4 million, due to a weaker U.S. dollar against all currencies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locations that the Company conducts its business. Consolidated sales volume increased less than one percent and positively impacted the change in net sales by $2.2 million. Organic sales volume was up three percent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incurred a $12.4 million operating loss in the first half of 2026 versus $46.3 million of operating income in the first half of 2025. Surfactant and Polymer operating income increased $10.6 million and $6.1 million, respectively, year-over-year. Specialty Products operating income decreased $1.0 million between years. Corporate expenses, including business restructuring, environmental remediation and deferred compensation expenses increased $74.3 million, year-over-year. Business restructuring expenses were $70.5 million in the first six months of 2026 versus no restructuring expenses recognized in the first six months of 2025. Foreign currency translation had a $3.4 million favorable impact on operating income year-over-year.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(including deferred compensation) increased $5.6 million or six percent year-over-year. Changes in the individual income statement line items that comprise the Company’s operating expenses were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Selling expenses increased $0.3 million, or one percent, year-over-year.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Administrative expenses increased $1.3 million, or three percent, year-over-year primarily due to higher incentive-based compensation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development and technical service (R&amp;D) expenses increased $2.8 million, or 10 percent primarily due to higher incentive-based compensation expenses.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Deferred compensation was $2.0 million of expense in the first half of 2026 versus $0.8 million of expense in the first half of 2025. The $1.2 million year-over-year increase in deferred compensation expense primarily reflects an $8.36 per share increase in the market price of the Company's common stock during the first six months of 2026 versus a $10.12 per share decrease in the market price during the first six months of 2025. See the </w:t>
      </w:r>
      <w:r>
        <w:rPr>
          <w:rFonts w:ascii="Times New Roman" w:hAnsi="Times New Roman"/>
          <w:i/>
          <w:color w:val="000000"/>
          <w:sz w:val="20"/>
        </w:rPr>
        <w:t>Overview</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Segment Results-Corporate Expenses</w:t>
      </w:r>
      <w:r>
        <w:rPr>
          <w:color w:val="000000"/>
        </w:rPr>
        <w:t xml:space="preserve"> </w:t>
      </w:r>
      <w:r>
        <w:rPr>
          <w:rFonts w:ascii="Times New Roman" w:hAnsi="Times New Roman"/>
          <w:color w:val="000000"/>
          <w:sz w:val="20"/>
        </w:rPr>
        <w:t>section of this MD&amp;A for further details.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interest expense for the first half of 2026 increased $1.1 million, or 11 percent, versus the first half of 2025. This increase was primarily attributable to lower U.S. capitalized interest income recognized in 2026 as the Company's new specialty alkoxylation facility in Pasadena, Texas started up in April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net was $1.2 million of income in the first half of 2026 versus $1.8 million of income in the first half of 2025. The Company recognized $1.3 million of investment gains (including realized and unrealized gains and losses) for the Company’s deferred compensation and supplemental defined contribution mutual fund assets in both the first half of 2026 and 2025. In addition, the Company reported $0.2 million of foreign exchange losses in the first half of 2026 versus less than $0.1 million of foreign exchange losses in the first half of 2025. The Company's net periodic pension income was less than $0.1 million in the first half of 2026 versus $0.5 million in the first half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effective tax rate was 15.7 percent in the first half of 2026 versus 19.2 percent in the first half of 2025. The decrease was primarily attributable to the geographical mix of income partially offset by select uncertain tax positions that did not recur in the first half of 2026. These amounts had a more pronounced impact on the effective tax rate due to the pre-tax loss in the first half of 2026 versus pre-tax income in the first half of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jc w:val="left"/>
        <w:rPr/>
      </w:pPr>
      <w:r>
        <w:rPr/>
        <w:t> </w:t>
      </w:r>
    </w:p>
    <w:tbl>
      <w:tblPr>
        <w:tblW w:w="6776" w:type="dxa"/>
        <w:jc w:val="left"/>
        <w:tblInd w:w="0" w:type="dxa"/>
        <w:tblLayout w:type="fixed"/>
        <w:tblCellMar>
          <w:top w:w="28" w:type="dxa"/>
          <w:left w:w="28" w:type="dxa"/>
          <w:bottom w:w="28" w:type="dxa"/>
          <w:right w:w="28" w:type="dxa"/>
        </w:tblCellMar>
      </w:tblPr>
      <w:tblGrid>
        <w:gridCol w:w="1636"/>
        <w:gridCol w:w="146"/>
        <w:gridCol w:w="211"/>
        <w:gridCol w:w="931"/>
        <w:gridCol w:w="146"/>
        <w:gridCol w:w="146"/>
        <w:gridCol w:w="211"/>
        <w:gridCol w:w="931"/>
        <w:gridCol w:w="146"/>
        <w:gridCol w:w="146"/>
        <w:gridCol w:w="211"/>
        <w:gridCol w:w="781"/>
        <w:gridCol w:w="166"/>
        <w:gridCol w:w="146"/>
        <w:gridCol w:w="199"/>
        <w:gridCol w:w="432"/>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44"/>
        <w:gridCol w:w="146"/>
        <w:gridCol w:w="244"/>
        <w:gridCol w:w="906"/>
        <w:gridCol w:w="192"/>
        <w:gridCol w:w="168"/>
        <w:gridCol w:w="244"/>
        <w:gridCol w:w="784"/>
        <w:gridCol w:w="146"/>
        <w:gridCol w:w="146"/>
        <w:gridCol w:w="211"/>
        <w:gridCol w:w="736"/>
        <w:gridCol w:w="166"/>
        <w:gridCol w:w="146"/>
        <w:gridCol w:w="162"/>
        <w:gridCol w:w="469"/>
        <w:gridCol w:w="195"/>
      </w:tblGrid>
      <w:tr>
        <w:trPr/>
        <w:tc>
          <w:tcPr>
            <w:tcW w:w="5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Specialty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93,923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 Excluding Deferred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104,371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(12,412</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Surfactants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Surfactant net sales for the first half of 2026 increased $95.8 million, or 11 percent, versus net sales for the first half of 2025. Higher average selling prices favorably impacted the change in net sales by $56.8 million. The higher average selling prices were mainly attributable to the pass through of higher raw material costs, more favorable product mix and pricing actions. Sales volume increased less than one percent and positively impacted the year-over-year change in net sales by $3.2 million. Organic sales volume increased four percent year-over-year. The Company believes a portion of the volume growth reflects customer pre-buying in response to geopolitical and product supply uncertainty. Foreign currency translation positively impacted the year-over-year change in net sales by $35.8 million. A comparison of net sales by region follows:</w:t>
      </w:r>
    </w:p>
    <w:p>
      <w:pPr>
        <w:pStyle w:val="TextBody"/>
        <w:bidi w:val="0"/>
        <w:jc w:val="left"/>
        <w:rPr/>
      </w:pPr>
      <w:r>
        <w:rPr/>
        <w:t> </w:t>
      </w:r>
    </w:p>
    <w:tbl>
      <w:tblPr>
        <w:tblW w:w="7732" w:type="dxa"/>
        <w:jc w:val="left"/>
        <w:tblInd w:w="0" w:type="dxa"/>
        <w:tblLayout w:type="fixed"/>
        <w:tblCellMar>
          <w:top w:w="28" w:type="dxa"/>
          <w:left w:w="28" w:type="dxa"/>
          <w:bottom w:w="28" w:type="dxa"/>
          <w:right w:w="28" w:type="dxa"/>
        </w:tblCellMar>
      </w:tblPr>
      <w:tblGrid>
        <w:gridCol w:w="2451"/>
        <w:gridCol w:w="146"/>
        <w:gridCol w:w="237"/>
        <w:gridCol w:w="880"/>
        <w:gridCol w:w="164"/>
        <w:gridCol w:w="164"/>
        <w:gridCol w:w="237"/>
        <w:gridCol w:w="880"/>
        <w:gridCol w:w="146"/>
        <w:gridCol w:w="146"/>
        <w:gridCol w:w="211"/>
        <w:gridCol w:w="736"/>
        <w:gridCol w:w="166"/>
        <w:gridCol w:w="146"/>
        <w:gridCol w:w="176"/>
        <w:gridCol w:w="455"/>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532,810</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220,118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Surfactants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937,589</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sales for North American operations increased $46.7 million, or 10 percent, year-over-year. Higher average selling prices had a $36.3 million favorable impact on the change in net sales and were primarily due to the pass-through of higher raw material costs, more favorable product mix and pricing actions. Sales volume increased two percent and positively impacted the change in net sales by $10.0 million. The higher sales volume was primarily due to higher demand for products sold into the industrial cleaning, crop productivity, and oilfield end markets, partially offset by lower demand for products sold into the commodity laundry and cleaning end markets. Foreign currency translation favorably impacted the change in net sales by $0.4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European operations increased $19.9 million, or 13 percent, due to the favorable impact of foreign currency translation, higher average selling prices and a three percent increase in sales volume. These items positively impacted the change in net sales by $10.1 million, $5.6 million and $4.2 million, respectively. A weaker U.S. dollar relative to the European euro and British pound sterling led to the favorable foreign currency translation effect. The higher average selling prices were primarily due to the pass-through of higher raw material costs and pricing actions. The higher sales volume was primarily due to higher demand for products sold into the commodity laundry and cleaning end markets.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Latin American operations increased $46.8 million, or 27 percent, due to the favorable impact of foreign currency translation, a nine percent increase in sales volume and higher average selling prices. These items positively impacted the change in net sales by $25.2 million, $15.6 million and $6.0 million, respectively. A weaker U.S. dollar relative to all currencies within the region led to the favorable foreign currency translation effect. The increase in sales volume was primarily due to higher demand for products sold into the commodity laundry and cleaning, industrial cleaning and crop productivity end markets and to our distribution partners. The higher average selling prices were primarily due to the pass-through of higher raw material costs, more favorable product mix and pricing 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Asian operations decreased $17.7 million, or 67 percent, year-over-year. An 81 percent decrease in sales volume negatively impacted the year-over-year change in net sales by $21.1 million. The lower sales volume was mainly due to the divestiture of assets in the Philippines during the fourth quarter of 2025. Higher average selling prices positively impacted the change in net sales by $3.4 million. Foreign currency translation had a negligible impact year-over-year.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Surfactant operating income for the first half of 2026 increased $10.6 million, or 25 percent, versus operating income for the first half of 2025. Gross profit increased $12.8 million, or 14 percent, and operating expenses increased $2.2 million, or four percent. Comparisons of gross profit by region and total segment operating expenses and operating income follow:</w:t>
      </w:r>
    </w:p>
    <w:p>
      <w:pPr>
        <w:pStyle w:val="TextBody"/>
        <w:bidi w:val="0"/>
        <w:spacing w:before="120" w:after="283"/>
        <w:jc w:val="both"/>
        <w:rPr/>
      </w:pPr>
      <w:r>
        <w:rPr/>
        <w:t> </w:t>
      </w:r>
    </w:p>
    <w:tbl>
      <w:tblPr>
        <w:tblW w:w="8493" w:type="dxa"/>
        <w:jc w:val="left"/>
        <w:tblInd w:w="0" w:type="dxa"/>
        <w:tblLayout w:type="fixed"/>
        <w:tblCellMar>
          <w:top w:w="28" w:type="dxa"/>
          <w:left w:w="28" w:type="dxa"/>
          <w:bottom w:w="28" w:type="dxa"/>
          <w:right w:w="28" w:type="dxa"/>
        </w:tblCellMar>
      </w:tblPr>
      <w:tblGrid>
        <w:gridCol w:w="3271"/>
        <w:gridCol w:w="146"/>
        <w:gridCol w:w="249"/>
        <w:gridCol w:w="923"/>
        <w:gridCol w:w="172"/>
        <w:gridCol w:w="172"/>
        <w:gridCol w:w="249"/>
        <w:gridCol w:w="798"/>
        <w:gridCol w:w="146"/>
        <w:gridCol w:w="146"/>
        <w:gridCol w:w="211"/>
        <w:gridCol w:w="676"/>
        <w:gridCol w:w="166"/>
        <w:gridCol w:w="146"/>
        <w:gridCol w:w="176"/>
        <w:gridCol w:w="455"/>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Gross Profit and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Surfactants 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Surfactants 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Gross profit for North American operations increased $8.5 million, or 19 percent, versus the prior year primarily due to higher average unit margins. The higher average unit margins positively impacted the year-over-year change in gross profit by $7.6 million and were primarily attributable to more favorable product mix, pricing actions, the initial benefits from Project Catalyst actions and the non-recurrence of an environmental reserve adjustment recognized in the second quarter of 2025. A two percent increase in sales volume positively impacted the year-over-year change in gross profit by $0.9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European operations increased $2.6 million, or 14 percent, due to the favorable impact of foreign currency translation, higher average unit margins and the three percent increase in sales volume. These items positively impacted the year-over-year change in gross profit by $1.4 million, $0.7 million and $0.5 million,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Gross profit for Latin American operations increased $7.3 million, or 32 percent, due to the favorable impact of the foreign currency translation, higher average unit margins and the nine percent increase in sales volume. These items positively impacted the year-over-year change in gross profit by $3.3 million, $2.0 million and $2.0 million, respectively. The higher average unit margins were primarily due to a more favorable product mix.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Asia operations decreased $5.6 million year-over-year primarily due to the double-digit decrease in sales volume resulting from the asset divestiture in the Philippines during the fourth quarter of 2025. The decline in sales volume negatively impacted the year-over-year change in gross profit by $5.9 million. Higher average unit margins positively impacted the change in gross profit by $0.3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for the Surfactants segment increased $2.2 million, or four percent, in the first half of 2026 versus the first half of 2025. This increase reflects higher incentive-based compensation expenses that were partially offset by the non-recurrence of a $1.1 million USEPA penalty recognized in the second quarter of 2025. In addition, foreign currency translation had a $1.6 million unfavorable impact on the change in operating expenses year-over-year.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Polymers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Polymers net sales for the first half of 2026 decreased $0.8 million, or less than one percent, versus net sales for the same period of 2025. Lower average selling prices negatively impacted the year-over-year change in net sales by $4.7 million. A one percent decrease in sales volume negatively impacted the change in net sales by $2.4 million. Foreign currency translation positively impacted the change in net sales by $6.3 million. A comparison of net sales by region follows:</w:t>
      </w:r>
    </w:p>
    <w:tbl>
      <w:tblPr>
        <w:tblW w:w="7522" w:type="dxa"/>
        <w:jc w:val="left"/>
        <w:tblInd w:w="0" w:type="dxa"/>
        <w:tblLayout w:type="fixed"/>
        <w:tblCellMar>
          <w:top w:w="28" w:type="dxa"/>
          <w:left w:w="28" w:type="dxa"/>
          <w:bottom w:w="28" w:type="dxa"/>
          <w:right w:w="28" w:type="dxa"/>
        </w:tblCellMar>
      </w:tblPr>
      <w:tblGrid>
        <w:gridCol w:w="2301"/>
        <w:gridCol w:w="146"/>
        <w:gridCol w:w="237"/>
        <w:gridCol w:w="880"/>
        <w:gridCol w:w="164"/>
        <w:gridCol w:w="164"/>
        <w:gridCol w:w="237"/>
        <w:gridCol w:w="880"/>
        <w:gridCol w:w="146"/>
        <w:gridCol w:w="146"/>
        <w:gridCol w:w="211"/>
        <w:gridCol w:w="676"/>
        <w:gridCol w:w="166"/>
        <w:gridCol w:w="146"/>
        <w:gridCol w:w="220"/>
        <w:gridCol w:w="411"/>
        <w:gridCol w:w="39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171,047</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114,841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22,148</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Polymers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308,036</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sales for North American operations increased $10.0 million, or six percent, year-over-year. Sales volume increased 10 percent and positively impacted the year-over-year change in net sales by $16.5 million. Sales volume of polyols used in rigid foam applications and commodity phthalic anhydride increased 13 percent and 11 percent, respectively, year-over-year. Within rigid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applications, spray foam sales volume increased triple digits. Sales volume of specialty polyols decreased four percent. Lower average selling prices negatively impacted the year-over-year change in net sales by $6.5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sales for European operations decreased $9.6 million, or eight percent, year-over-year. An 11 percent decrease in sales volume and lower average selling prices negatively impacted the year-over-year change in net sales by $13.9 million and $0.8 million, respectively. The lower sales volume is due to lower construction demand related to the macroeconomic environment and economic uncertainties. Foreign currency translation positively impacted the change in net sales by $5.1 million. A weaker U.S. dollar relative to the Polish zloty and British pound sterling led to the favorable foreign currency translation effect.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for Asia and Other operations decreased $1.2 million, or five percent, primarily due to a nine percent decrease in sales volume and lower average selling prices. These items negatively impacted the year-over-year change in net sales by $2.1 million and $0.3 million, respectively. Foreign currency translation favorably impacted the change in net sales by $1.2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Polymer operating income in the first half of 2026 increased $6.1 million, or 24 percent, versus operating income in the first half of 2025. Gross profit increased $6.9 million, or 17 percent and operating expenses increased $0.8 million or five percent year-over-year. Comparisons of gross profit by region and total segment operating expenses and operating income follow:</w:t>
      </w:r>
    </w:p>
    <w:p>
      <w:pPr>
        <w:pStyle w:val="TextBody"/>
        <w:bidi w:val="0"/>
        <w:spacing w:before="120" w:after="283"/>
        <w:jc w:val="both"/>
        <w:rPr/>
      </w:pPr>
      <w:r>
        <w:rPr/>
        <w:t> </w:t>
      </w:r>
    </w:p>
    <w:tbl>
      <w:tblPr>
        <w:tblW w:w="8344" w:type="dxa"/>
        <w:jc w:val="left"/>
        <w:tblInd w:w="0" w:type="dxa"/>
        <w:tblLayout w:type="fixed"/>
        <w:tblCellMar>
          <w:top w:w="28" w:type="dxa"/>
          <w:left w:w="28" w:type="dxa"/>
          <w:bottom w:w="28" w:type="dxa"/>
          <w:right w:w="28" w:type="dxa"/>
        </w:tblCellMar>
      </w:tblPr>
      <w:tblGrid>
        <w:gridCol w:w="3121"/>
        <w:gridCol w:w="146"/>
        <w:gridCol w:w="262"/>
        <w:gridCol w:w="839"/>
        <w:gridCol w:w="181"/>
        <w:gridCol w:w="181"/>
        <w:gridCol w:w="262"/>
        <w:gridCol w:w="839"/>
        <w:gridCol w:w="146"/>
        <w:gridCol w:w="146"/>
        <w:gridCol w:w="211"/>
        <w:gridCol w:w="676"/>
        <w:gridCol w:w="166"/>
        <w:gridCol w:w="146"/>
        <w:gridCol w:w="176"/>
        <w:gridCol w:w="455"/>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Gross Profit and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Percent</w:t>
              <w:b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Polymers Segment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Polymers 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Gross profit for North American operations increased $10.5 million, or 57 percent, year-over-year. This increase was primarily due to higher average unit margins and the 10 percent increase in sales volume. These items positively impacted the year-over-year change in gross profit by $8.6 million and $1.9 million, respectively. The higher average unit margins largely reflect the non-recurrence of high cost of inventory carryover incurred in the prior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European operations decreased $3.1 million, or 18 percent, versus the first half of 2025. This decrease was primarily due to the 11 percent decrease in sales volume and lower average unit margins. These items negatively impacted the year-over-year change in gross profit by $1.9 million and $1.7 million, respectively. Foreign currency translation positively impacted the change in gross profit by $0.5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profit for Asia and Other operations decreased $0.5 million, or 11 percent, year-over year. This decrease was primarily due to the nine percent decrease in sales volume and lower average unit margins. These items negatively impacted the change in gross profit by $0.4 million and $0.3 million, respectively. Foreign currency translation positively impacted the change in gross profit by $0.2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expenses for the Polymer segment increased $0.8 million, or five percent, year-over-year.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Specialty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Specialty Products net sales for the first half of 2026 increased $5.7 million, or 15 percent, versus net sales for the first half of 2025. The increase was primarily due to a 15 percent increase in sales volume. Gross profit and operating income both decreased by $1.0 million. The year-over year decrease in both gross profit and operating income was primarily due to less favorable product mix within the MCT product line that was partially offset by higher earnings in the food and flavor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Corporate Expenses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Corporate expenses, which include business restructuring, deferred compensation, and other operating expenses that are not allocated to the reportable segments, increased $74.3 million, year-over-year. Corporate expenses were $106.3 million in the first half of 2026 versus $32.0 million in the first half of 2025. The increase was primarily due to a $70.5 million restructuring charge recognized in the first half of 2026. See Note 16, </w:t>
      </w:r>
      <w:r>
        <w:rPr>
          <w:rFonts w:ascii="Times New Roman" w:hAnsi="Times New Roman"/>
          <w:i/>
          <w:color w:val="000000"/>
          <w:sz w:val="20"/>
        </w:rPr>
        <w:t xml:space="preserve">Business Restructuring, </w:t>
      </w:r>
      <w:r>
        <w:rPr>
          <w:rFonts w:ascii="Times New Roman" w:hAnsi="Times New Roman"/>
          <w:color w:val="000000"/>
          <w:sz w:val="20"/>
        </w:rPr>
        <w:t>of the notes to the Company's consolidated financial statements for more details regarding the restructuring charge.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compensation expense increased $1.2 million year-over-year and was primarily due to an $8.36 per share increase in the market price of the Company's common stock during the first six months of 2026 versus a $10.12 per share decrease in the market price during the first six months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period-end Company common stock market prices used in the computation of deferred compensation income/expense for the six months ended June 30, 2026 and 2025:</w:t>
      </w:r>
    </w:p>
    <w:p>
      <w:pPr>
        <w:pStyle w:val="TextBody"/>
        <w:bidi w:val="0"/>
        <w:jc w:val="left"/>
        <w:rPr/>
      </w:pPr>
      <w:r>
        <w:rPr/>
        <w:t> </w:t>
      </w:r>
    </w:p>
    <w:tbl>
      <w:tblPr>
        <w:tblW w:w="7518"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78"/>
        <w:gridCol w:w="757"/>
        <w:gridCol w:w="146"/>
        <w:gridCol w:w="146"/>
        <w:gridCol w:w="211"/>
        <w:gridCol w:w="571"/>
        <w:gridCol w:w="146"/>
        <w:gridCol w:w="146"/>
        <w:gridCol w:w="278"/>
        <w:gridCol w:w="757"/>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 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LIQUIDITY AND CAPITAL RESOURCES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operating activities were a cash source of $25.3 million versus a cash source of $18.1 million for the comparable period in 2025. For the first six months of 2026, investing cash outflows totaled $46.3 million versus cash outflows of $51.5 million in the prior year period. Financing activities were a cash source of $1.2 million versus a cash source of $13.3 million in the prior year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decreased $19.0 million compared to December 31, 2025, inclusive of an $0.8 million favorable foreign exchange rate impact. On June 30, 2026, the Company's cash and cash equivalents totaled $113.7 million. Cash in non-U.S. money market funds, which were rated AAAm by Standard and Poor’s, Aaa-mf by Moody’s and AAAmmf by Fitch, totaled $10.5 million and cash in U.S. demand deposit accounts totaled $1.4 million. The Company’s non-U.S. subsidiaries held $101.8 million of cash and cash equivalents as of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during the first six months of 2026 decreased $49.5 million versus the comparable period in 2025. Working capital was a cash use of $77.2 million during the first six months of 2026 versus a cash use of $74.7 million in the comparable period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receivable were a cash use of $104.3 million during the first six months of 2026 compared to a cash use of $31.8 million for the comparable period in 2025. Inventories were a cash use of $24.2 million in 2026 versus a cash use of $30.7 million in 2025. Accounts payable and accrued liabilities were a cash source of $56.4 million in 2026 compared to a cash use of $1.6 million for the same period in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Working capital requirements were higher in the first six months of 2026 compared to 2025 primarily due to the changes noted above. The change in accounts receivable working capital primarily reflects higher sales volume and higher selling prices due to the pass through of higher raw material costs. The change in accounts payable and accrued liabilities primarily reflects higher trade payables due to escalating raw material costs. It is management’s opinion that the Company’s liquidity is sufficient to provide for potential increases in working capital requirements during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for investing activities decreased $5.2 million year-over-year primarily due to lower capital expenditures in the first six months of 2026 versus the same period of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2026, the Company estimates that total capital expenditures will be in the range of $100.0 million to $110.0 million.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flow from financing activities was a source of $1.2 million in 2026 versus a source of $13.3 million in 2025. The year-over-year change reflects higher borrowings from the Company's revolving credit agreement during the first six months of 2026 versus the prior year period. These higher credit facility borrowings were more than offset by the non-recurrence of $75.0 million of senior unsecured notes issued in the second quarter of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purchases shares of its common stock in the open market or from its benefit plans from time to time to fund its own benefit plans and to mitigate the dilutive effect of new shares issued under its compensation plans. The Company may, from time to time, seek to purchase additional amounts of its outstanding equity and/or retire debt securities through cash purchases and/or exchanges for other securities, in open market purchases, privately negotiated transactions or otherwise, including pursuant to plans meeting the requirements of Rule 10b5-1 promulgated by the SEC. Such repurchases or exchanges, if any, will depend on prevailing market conditions, the Company’s liquidity requirements, contractual restrictions and other factors. The amounts involved may be material. The Company did not purchase any shares of its common stock on the open market during the six months ended June 30, 2026. At June 30, 2026, the Company had $125.1 million remaining under the share repurchase program authorized by its Board of Directors.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 and Credit Facilities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balance sheet debt increased $20.7 million, from $626.7 million on December 31, 2025 to $647.4 million on June 30, 2026, primarily due to higher domestic borrowings from the Company's revolving credit facility. Net debt (which is defined as total debt minus cash – see the “Reconciliation of Non-GAAP Net Debt” section of this MD&amp;A) was $533.7 million on June 30, 2026 versus $494.0 million at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ratio of net debt to net debt plus shareholders’ equity was 31.0 percent versus 28.0 percent at December 31, 2025 (see the “Reconciliation of Non-GAAP Net Debt” section in this MD&amp;A for further details). On June 30, 2026, the Company’s debt included $303.4 million of unsecured notes, with maturities ranging from 2026 through 2033, that were issued to insurance companies in private placement transactions pursuant to note purchase agreements (the “Note Purchase Agreements”), an $80.0 million delayed-draw term loan borrowed pursuant to the Company’s credit agreement, $264.0 million of short-term loans borrowed under the Company’s revolving credit facility and no foreign credit line borrowings. As of June 30, 2026, the Company had outstanding letters of credit of $13.3 million, inclusive of $4.6 million issued under the Company’s revolving credit facility. The proceeds from the note issuances have been the Company’s primary source of long-term debt financing and are supplemented by borrowings under bank credit facilities to meet short and medium-term liquidity needs.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Company’s credit agreement (the Credit Agreement) with a syndicate of banks provides for credit facilities in an initial aggregate principal amount of $450.0 million, consisting of (a) a $350.0 million multi-currency revolving credit facility and (b) a $100.0 million delayed draw term loan credit facility ($20.0 million of the term loan principal has been permanently repaid as scheduled), each of which matures on June 24, 2027. The Company's credit agreement with Credit Industriel et Commercial NY (the CIC Credit Agreement) provides for a credit facility in an aggregate principal amount of $8.7 million. The facility is for the sole purpose of the issuance of standby letters of credit. As of June 30, 2026, the Company had outstanding letters of credit totaling $8.7 million under the CIC Credit Agreement. The Company also maintains import and export letters of credit and standby letters of credit under its workers’ compensation insurance agreements and for other purposes, as needed from time to time, which are issued under the Credit Agreement. These outstanding letters of credit totaled $4.6 million at June 30, 2026.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anticipates that cash from operations, committed credit facilities and cash on hand will be sufficient to fund anticipated capital expenditures, working capital, dividends and other planned financial commitments for the foreseeable future.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Certain foreign subsidiaries of the Company maintain short-term bank lines of credit in their respective local currencies to meet working capital requirements as well as to fund capital expenditures and acquisitions. At June 30, 2026, the Company’s foreign subsidiaries had no outstanding debt.</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covenants under its material debt agreements that require the maintenance of minimum interest coverage and minimum net worth. These debt covenants also limit the incurrence of additional debt as well as the payment of dividends and repurchase of shares. Under the most restrictive of these debt covenants:</w:t>
      </w:r>
    </w:p>
    <w:tbl>
      <w:tblPr>
        <w:tblW w:w="10205" w:type="dxa"/>
        <w:jc w:val="left"/>
        <w:tblInd w:w="0" w:type="dxa"/>
        <w:tblLayout w:type="fixed"/>
        <w:tblCellMar>
          <w:top w:w="28" w:type="dxa"/>
          <w:left w:w="28" w:type="dxa"/>
          <w:bottom w:w="28" w:type="dxa"/>
          <w:right w:w="28" w:type="dxa"/>
        </w:tblCellMar>
      </w:tblPr>
      <w:tblGrid>
        <w:gridCol w:w="124"/>
        <w:gridCol w:w="243"/>
        <w:gridCol w:w="9838"/>
      </w:tblGrid>
      <w:tr>
        <w:trPr/>
        <w:tc>
          <w:tcPr>
            <w:tcW w:w="12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38"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83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is required to maintain a minimum interest coverage ratio, as defined within the agreements, of 3.50 to 1.00, for the preceding four calendar quarters.</w:t>
            </w:r>
          </w:p>
        </w:tc>
      </w:tr>
    </w:tbl>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3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83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is required to maintain an existing maximum net leverage ratio, as defined within the agreements, not to exceed 3.50 to 1.00.</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6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Company is required to maintain net worth of at least $750.0 million.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8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The Company is permitted to pay dividends and purchase treasury shares after June 24, 2022, in amounts of up to $100.0 million plus 100 percent of net income and cash proceeds of stock option exercises, measured cumulatively beginning January 1, 2022. The maximum amount of dividends that could have been paid within this limitation is disclosed as unrestricted retained earnings in Note 14, </w:t>
            </w:r>
            <w:r>
              <w:rPr>
                <w:rFonts w:ascii="Times New Roman" w:hAnsi="Times New Roman"/>
                <w:i/>
                <w:color w:val="000000"/>
                <w:sz w:val="20"/>
              </w:rPr>
              <w:t>Debt</w:t>
            </w:r>
            <w:r>
              <w:rPr>
                <w:rFonts w:ascii="Times New Roman" w:hAnsi="Times New Roman"/>
                <w:color w:val="000000"/>
                <w:sz w:val="20"/>
              </w:rPr>
              <w:t>, of the notes to the Company’s condensed consolidated financial statements (included in Item 1 of this Form 10-Q).</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it was in compliance with the covenants under its material debt agreements as of June 30, 2026.</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ENVIRONMENTAL AND LEGAL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operations are subject to extensive federal, state and local environmental laws and regulations and similar laws in the other countries in which the Company does business. Although the Company's environmental policies and practices are designed to ensure compliance with these laws and regulations, future developments and increasingly stringent environmental regulation may require the Company to make additional unforeseen environmental expenditures. The Company will continue to invest in the equipment and facilities necessary to comply with existing and future regulations. During the first six months of 2026 and 2025, the Company’s expenditures for capital projects related to environmental matters were $1.5 million and $4.4 million, respectively. These projects are capitalized and depreciated over their estimated useful lives, which are typically 10 years. Recurring costs associated with the operation and maintenance of facilities for waste treatment and disposal and managing environmental compliance in ongoing operations at the Company’s manufacturing locations were $22.1 million and $21.1 million for the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 the years, the Company has received requests for information related to or has been named by the government as a potentially responsible party at a number of waste disposal sites where cleanup costs have been or may be incurred under CERCLA and similar state or foreign statutes. In addition, the Company is from time to time involved in routine legal proceedings incidental to the conduct of its business, including personal injury, property damage, tax, trade and labor matters. The Company believes that it has made adequate provisions for the costs it is likely to incur with respect to these claims. It is the Company’s accounting policy to record liabilities when environmental assessments, remediation expenses or legal proceeding losses are probable, and the cost or range of possible costs can be reasonably estimated. When no amount within the range is a better estimate than any other amount, the minimum is accrued. Estimating the possible costs of environmental remediation requires making assumptions related to the nature and extent of contamination and the methods and resulting costs of remediation. Some of the factors on which the Company bases its estimates include information provided by decisions rendered by State and Federal environmental regulatory agencies, information provided by feasibility studies, and remedial action plans developed. After partial remediation payments at certain sites, the Company has estimated a range of possible environmental and legal losses of $19.6 million to $46.5 million at June 30, 2026 and $19.3 million to $46.0 million at December 31, 2025. Within the range of possible environmental and legal losses, management has currently concluded that no single amount is more likely to occur than any other amounts in the range and, thus, has accrued at the lower end of the range. The Company's environmental and legal accruals totaled $19.6 million at June 30, 2026 and $19.3 million at December 31, 2025. Because the liabilities accrued are estimates, actual amounts could differ materially from the amounts reported. Cash expenditures related to environmental remediation and certain other legal matters approximated $0.7 million for the six months ended June 30, 2026, compared to $2.6 million for the same period in 2025.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certain sites, the Company has responded to information requests made by federal, state or local government agencies but has received no response confirming or denying the Company’s stated positions. As such, estimates of the total costs, or range of possible costs, of remediation, if any, or the Company’s share of such costs, if any, cannot be determined with respect to these sites. Consequently, the Company is unable to predict the effect thereof on the Company’s financial position, cash flows and results of operations. Based on the Company’s present knowledge with respect to its involvement at these sites, the possibility of other viable entities’ responsibilities for cleanup, and the extended period over which any costs would be incurred, management believes that the Company has no material liability at these sites and that these matters, individually and in the aggregate, will not have a material effect on the Company’s financial position. Certain of these matters are discussed in Item 1, Part 2, of the Company’s Annual Report on Form 10-K, Legal Proceedings, in this report and in other filings of the Company with the SEC, which are available upon request from the Company. See also Note 8, </w:t>
      </w:r>
      <w:r>
        <w:rPr>
          <w:rFonts w:ascii="Times New Roman" w:hAnsi="Times New Roman"/>
          <w:i/>
          <w:color w:val="000000"/>
          <w:sz w:val="20"/>
        </w:rPr>
        <w:t>Contingencies</w:t>
      </w:r>
      <w:r>
        <w:rPr>
          <w:rFonts w:ascii="Times New Roman" w:hAnsi="Times New Roman"/>
          <w:color w:val="000000"/>
          <w:sz w:val="20"/>
        </w:rPr>
        <w:t>, in the notes to the Company’s condensed consolidated financial statements (included in Item 1 of this Form 10-Q) for a summary of the significant environmental proceedings related to certain sites.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CRITICAL ACCOUNTING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the critical accounting policies disclosed in the Company’s 2025 Annual Report on Form 10-K.</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NON-GAAP RECONCILIATIONS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believes that certain non-GAAP measures, when presented in conjunction with comparable GAAP measures, are useful for evaluating the Company’s performance and financial condition. Internally, the Company uses this non-GAAP information as an indicator of business performance and evaluates management’s effectiveness with specific reference to these indicators. Management uses these non-GAAP financial measures to assist in analyzing what management views as the Company’s core operating performance for purposes of business decision making. Management believes that presenting these non-GAAP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measures provides investors with useful supplemental information because they (i) provide meaningful supplemental information regarding financial performance by excluding items affecting comparability between periods, (ii) permit investors to view performance using the same tools that management uses to budget, make operating and strategic decisions and evaluate the Company’s core operating performance across periods, and (iii) otherwise provide supplemental information that may be useful to investors in evaluating the Company’s financial results. In addition, the Company believes that the presentation of these non-GAAP financial measures, when considered together with the most directly comparable GAAP financial measures and the reconciliations to those GAAP financial measures, provides investors with additional tools to understand the factors and trends affecting the Company’s underlying business than could be obtained absent these disclosures. These measures should be considered in addition to, not as substitutes for or superior to, measures of financial performance prepared in accordance with GAAP and there are limitations to using non-GAAP financial measures. For example, the non-GAAP financial measures presented in this Form 10-Q may differ from similarly titled non-GAAP financial measures presented by other companies and other companies may not define these non-GAAP financial measures the same way as the Company does. </w:t>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Reconciliations of Non-GAAP Adjusted Net Income and Diluted Earnings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uses the non-GAAP adjusted net income metric to evaluate the Company’s operating performance. Management excludes the items listed in the table below because they are non-operational items. The cumulative tax effect is typically calculated using the statutory tax rates for the jurisdictions in which the transactions occurred.</w:t>
      </w:r>
    </w:p>
    <w:p>
      <w:pPr>
        <w:pStyle w:val="TextBody"/>
        <w:bidi w:val="0"/>
        <w:jc w:val="both"/>
        <w:rPr/>
      </w:pPr>
      <w:r>
        <w:rPr/>
        <w:t> </w:t>
      </w:r>
    </w:p>
    <w:tbl>
      <w:tblPr>
        <w:tblW w:w="9449" w:type="dxa"/>
        <w:jc w:val="left"/>
        <w:tblInd w:w="0" w:type="dxa"/>
        <w:tblLayout w:type="fixed"/>
        <w:tblCellMar>
          <w:top w:w="28" w:type="dxa"/>
          <w:left w:w="28" w:type="dxa"/>
          <w:bottom w:w="28" w:type="dxa"/>
          <w:right w:w="28" w:type="dxa"/>
        </w:tblCellMar>
      </w:tblPr>
      <w:tblGrid>
        <w:gridCol w:w="4456"/>
        <w:gridCol w:w="146"/>
        <w:gridCol w:w="285"/>
        <w:gridCol w:w="630"/>
        <w:gridCol w:w="166"/>
        <w:gridCol w:w="146"/>
        <w:gridCol w:w="270"/>
        <w:gridCol w:w="675"/>
        <w:gridCol w:w="166"/>
        <w:gridCol w:w="146"/>
        <w:gridCol w:w="285"/>
        <w:gridCol w:w="630"/>
        <w:gridCol w:w="166"/>
        <w:gridCol w:w="146"/>
        <w:gridCol w:w="294"/>
        <w:gridCol w:w="651"/>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br/>
              <w:t>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(Income)/Expense (including</w:t>
              <w:br/>
              <w:t>   related investment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Remediation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Pre-tax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Tax Effect on Above Adjustment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949" w:type="dxa"/>
        <w:jc w:val="left"/>
        <w:tblInd w:w="0" w:type="dxa"/>
        <w:tblLayout w:type="fixed"/>
        <w:tblCellMar>
          <w:top w:w="28" w:type="dxa"/>
          <w:left w:w="28" w:type="dxa"/>
          <w:bottom w:w="28" w:type="dxa"/>
          <w:right w:w="28" w:type="dxa"/>
        </w:tblCellMar>
      </w:tblPr>
      <w:tblGrid>
        <w:gridCol w:w="4456"/>
        <w:gridCol w:w="146"/>
        <w:gridCol w:w="399"/>
        <w:gridCol w:w="996"/>
        <w:gridCol w:w="166"/>
        <w:gridCol w:w="146"/>
        <w:gridCol w:w="270"/>
        <w:gridCol w:w="675"/>
        <w:gridCol w:w="166"/>
        <w:gridCol w:w="146"/>
        <w:gridCol w:w="285"/>
        <w:gridCol w:w="630"/>
        <w:gridCol w:w="166"/>
        <w:gridCol w:w="146"/>
        <w:gridCol w:w="270"/>
        <w:gridCol w:w="675"/>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the Company</w:t>
              <w:br/>
              <w:t>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(Income)/Expense (including</w:t>
              <w:br/>
              <w:t>   related investment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Remediation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Pre-tax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Tax Effect on Above Adjustment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Reconciliations of Non-GAAP EBITDA and Adjusted EBITDA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uses the non-GAAP EBITDA and adjusted EBITDA metric to evaluate the Company's operating performance. Management excludes the items listed in the table below because they are non-operational items. Refer to the Company's Condensed Consolidated Statements of Income for a bridge between Operating Income and Net Income.</w:t>
      </w:r>
    </w:p>
    <w:p>
      <w:pPr>
        <w:pStyle w:val="TextBody"/>
        <w:bidi w:val="0"/>
        <w:spacing w:before="120" w:after="283"/>
        <w:jc w:val="both"/>
        <w:rPr/>
      </w:pPr>
      <w:r>
        <w:rPr/>
        <w:t> </w:t>
      </w:r>
    </w:p>
    <w:tbl>
      <w:tblPr>
        <w:tblW w:w="4804" w:type="dxa"/>
        <w:jc w:val="left"/>
        <w:tblInd w:w="0" w:type="dxa"/>
        <w:tblLayout w:type="fixed"/>
        <w:tblCellMar>
          <w:top w:w="28" w:type="dxa"/>
          <w:left w:w="28" w:type="dxa"/>
          <w:bottom w:w="28" w:type="dxa"/>
          <w:right w:w="28" w:type="dxa"/>
        </w:tblCellMar>
      </w:tblPr>
      <w:tblGrid>
        <w:gridCol w:w="2821"/>
        <w:gridCol w:w="146"/>
        <w:gridCol w:w="211"/>
        <w:gridCol w:w="466"/>
        <w:gridCol w:w="146"/>
        <w:gridCol w:w="146"/>
        <w:gridCol w:w="211"/>
        <w:gridCol w:w="46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Environmental Remediation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Business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954" w:type="dxa"/>
        <w:jc w:val="left"/>
        <w:tblInd w:w="0" w:type="dxa"/>
        <w:tblLayout w:type="fixed"/>
        <w:tblCellMar>
          <w:top w:w="28" w:type="dxa"/>
          <w:left w:w="28" w:type="dxa"/>
          <w:bottom w:w="28" w:type="dxa"/>
          <w:right w:w="28" w:type="dxa"/>
        </w:tblCellMar>
      </w:tblPr>
      <w:tblGrid>
        <w:gridCol w:w="3721"/>
        <w:gridCol w:w="146"/>
        <w:gridCol w:w="211"/>
        <w:gridCol w:w="571"/>
        <w:gridCol w:w="166"/>
        <w:gridCol w:w="146"/>
        <w:gridCol w:w="211"/>
        <w:gridCol w:w="571"/>
        <w:gridCol w:w="21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Compensation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Environmental Remediation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Business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Reconciliations of Non-GAAP Net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uses the non-GAAP net debt metric to show a more complete picture of the Company’s overall liquidity, financial flexibility and leverage level.</w:t>
      </w:r>
    </w:p>
    <w:p>
      <w:pPr>
        <w:pStyle w:val="TextBody"/>
        <w:bidi w:val="0"/>
        <w:jc w:val="both"/>
        <w:rPr/>
      </w:pPr>
      <w:r>
        <w:rPr/>
        <w:t> </w:t>
      </w:r>
    </w:p>
    <w:tbl>
      <w:tblPr>
        <w:tblW w:w="7122" w:type="dxa"/>
        <w:jc w:val="left"/>
        <w:tblInd w:w="0" w:type="dxa"/>
        <w:tblLayout w:type="fixed"/>
        <w:tblCellMar>
          <w:top w:w="28" w:type="dxa"/>
          <w:left w:w="28" w:type="dxa"/>
          <w:bottom w:w="28" w:type="dxa"/>
          <w:right w:w="28" w:type="dxa"/>
        </w:tblCellMar>
      </w:tblPr>
      <w:tblGrid>
        <w:gridCol w:w="4231"/>
        <w:gridCol w:w="146"/>
        <w:gridCol w:w="211"/>
        <w:gridCol w:w="721"/>
        <w:gridCol w:w="271"/>
        <w:gridCol w:w="146"/>
        <w:gridCol w:w="244"/>
        <w:gridCol w:w="836"/>
        <w:gridCol w:w="3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Cash Equivalents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 plus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Debt/Net Debt plus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3 –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market risks described in the Company’s 2025 Annual Report on Form 10-K.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4 –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conducted an evaluation of the effectiveness of the design and operation of our disclosure controls and procedures, as defined in Rules 13a-15(e) and 15d-15(e) under the Exchange Act, as of June 30, 2026. Based on this evaluation of our disclosure controls and procedures, our Chief Executive Officer and our Chief Financial Officer have concluded that our disclosure controls and procedures were effective as of June 30, 2026, such that the information required to be disclosed in our Securities and Exchange Commission reports is recorded, processed, summarized and reported within the time periods specified by the rules and forms of the Exchange Act and is accumulated and communicated to management, including our Chief Executive Officer and our Chief Financial Officer, as appropriate to allow timely decisions regarding required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the Company’s internal controls over financial reporting (as defined in Rule 13a-15(f) under the Exchange Act) that occurred during the quarter ended June 30,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Part II OTHER INFORMATION</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1 –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 regulations require the Company to disclose certain information about administrative or judicial proceedings involving certain environmental matters to which a governmental authority is a party if the Company reasonably believes that such proceedings may result in monetary sanctions above a specified threshold. Pursuant to SEC regulations, the Company has adopted a threshold of $1.0 million for purposes of determining whether disclosure of any such proceedings is required. The Company believes that this threshold is reasonably designed to result in disclosure of any such proceedings that are material to its business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Developments in the Company's legal proceedings are described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19, 2025, the Company received a pre-filing notice from USEPA for violations of the Federal Insecticide, Fungicide, and Rodenticide Act (FIFRA) associated with certain of the Company’s biocide products sold by a licensed distributor. USEPA assessed a civil penalty of $1.1 million, which the Company paid on July 2, 2025. As of June 30, 2026, the Company recovered the entire amount of the USEPA penalty from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other material changes to the legal proceedings disclosed in the Company’s 2025 Annual Report on Form 10-K.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1A –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risk factors disclosed in the Company’s 2025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2 –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summary by month of share purchases by the Company during the second quarter of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16"/>
        <w:gridCol w:w="146"/>
        <w:gridCol w:w="318"/>
        <w:gridCol w:w="919"/>
        <w:gridCol w:w="146"/>
        <w:gridCol w:w="249"/>
        <w:gridCol w:w="146"/>
        <w:gridCol w:w="268"/>
        <w:gridCol w:w="727"/>
        <w:gridCol w:w="146"/>
        <w:gridCol w:w="146"/>
        <w:gridCol w:w="370"/>
        <w:gridCol w:w="877"/>
        <w:gridCol w:w="146"/>
        <w:gridCol w:w="146"/>
        <w:gridCol w:w="693"/>
        <w:gridCol w:w="3750"/>
        <w:gridCol w:w="196"/>
      </w:tblGrid>
      <w:tr>
        <w:trPr/>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w:t>
            </w:r>
            <w:r>
              <w:rPr>
                <w:rFonts w:ascii="Times New Roman" w:hAnsi="Times New Roman"/>
                <w:color w:val="000000"/>
                <w:sz w:val="16"/>
              </w:rPr>
              <w:t xml:space="preserve"> </w:t>
            </w:r>
            <w:r>
              <w:rPr>
                <w:rFonts w:ascii="Times New Roman" w:hAnsi="Times New Roman"/>
                <w:b/>
                <w:color w:val="000000"/>
                <w:sz w:val="16"/>
              </w:rPr>
              <w:t>Number</w:t>
              <w:br/>
              <w:t>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 Shares Purchased</w:t>
              <w:br/>
              <w:t> as Part of Publicly</w:t>
              <w:br/>
              <w:t> Announced Plans</w:t>
              <w:br/>
              <w:t xml:space="preserve"> or Programs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Approximate Dollar Value of Shares That May Yet be Purchased Under the Plans or Programs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125,050,905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On October 20, 2021, the Company announced that its Board of Directors had authorized the Company to repurchase up to $150,000,000 of its outstanding common stock. Under this program, which does not have an expiration date, repurchases may be made from time to time through open market transactions, privately negotiated transactions or a combination of the foregoing, subject to applicable laws.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 xml:space="preserve">Represents shares of the Company's common stock surrendered by employees to settle statutory withholding taxes related to the distribution of restricted stock units.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 xml:space="preserve">Includes 256 and 34 shares of the Company's common stock surrendered by employees to settle statutory withholding taxes related to the distribution of deferred management incentive compensation and the distribution of restricted stock units,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3 –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4 –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5 –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923"/>
        <w:gridCol w:w="946"/>
        <w:gridCol w:w="481"/>
        <w:gridCol w:w="3825"/>
        <w:gridCol w:w="4030"/>
      </w:tblGrid>
      <w:tr>
        <w:trPr/>
        <w:tc>
          <w:tcPr>
            <w:tcW w:w="92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r>
      <w:tr>
        <w:trPr/>
        <w:tc>
          <w:tcPr>
            <w:tcW w:w="92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946" w:type="dxa"/>
            <w:tcBorders/>
            <w:tcMar>
              <w:top w:w="0" w:type="dxa"/>
              <w:left w:w="0" w:type="dxa"/>
              <w:bottom w:w="0" w:type="dxa"/>
              <w:right w:w="0" w:type="dxa"/>
            </w:tcMar>
            <w:vAlign w:val="center"/>
          </w:tcPr>
          <w:p>
            <w:pPr>
              <w:pStyle w:val="TableContents"/>
              <w:bidi w:val="0"/>
              <w:spacing w:before="240" w:after="283"/>
              <w:ind w:left="0" w:right="0" w:firstLine="720"/>
              <w:jc w:val="center"/>
              <w:rPr/>
            </w:pPr>
            <w:r>
              <w:rPr/>
              <w:t> </w:t>
            </w:r>
          </w:p>
        </w:tc>
        <w:tc>
          <w:tcPr>
            <w:tcW w:w="8336" w:type="dxa"/>
            <w:gridSpan w:val="3"/>
            <w:tcBorders/>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6" w:type="dxa"/>
            <w:tcBorders/>
            <w:tcMar>
              <w:top w:w="0" w:type="dxa"/>
              <w:left w:w="0" w:type="dxa"/>
              <w:bottom w:w="0" w:type="dxa"/>
              <w:right w:w="0" w:type="dxa"/>
            </w:tcMar>
            <w:vAlign w:val="center"/>
          </w:tcPr>
          <w:p>
            <w:pPr>
              <w:pStyle w:val="TableContents"/>
              <w:bidi w:val="0"/>
              <w:spacing w:before="0" w:after="283"/>
              <w:ind w:left="0" w:right="0" w:firstLine="718"/>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18"/>
              <w:jc w:val="both"/>
              <w:rPr/>
            </w:pPr>
            <w:hyperlink w:anchor="scl-ex31_1.htm">
              <w:r>
                <w:rPr>
                  <w:rStyle w:val="InternetLink"/>
                  <w:rFonts w:ascii="Times New Roman" w:hAnsi="Times New Roman"/>
                  <w:color w:val="0000FF"/>
                  <w:sz w:val="20"/>
                  <w:u w:val="single"/>
                </w:rPr>
                <w:t>Certification of President and Chief Executive Officer pursuant to Exchange Act Rule 13a-14(a)/15d-14(a)</w:t>
              </w:r>
            </w:hyperlink>
          </w:p>
        </w:tc>
      </w:tr>
      <w:tr>
        <w:trPr/>
        <w:tc>
          <w:tcPr>
            <w:tcW w:w="9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before="0" w:after="283"/>
              <w:jc w:val="both"/>
              <w:rPr/>
            </w:pPr>
            <w:hyperlink w:anchor="scl-ex31_2.htm">
              <w:r>
                <w:rPr>
                  <w:rStyle w:val="InternetLink"/>
                  <w:rFonts w:ascii="Times New Roman" w:hAnsi="Times New Roman"/>
                  <w:color w:val="0000FF"/>
                  <w:sz w:val="20"/>
                  <w:u w:val="single"/>
                </w:rPr>
                <w:t>Certification of Vice President and Chief Financial Officer pursuant to Exchange Act Rule 13a- 14(a)/15d-14(a)</w:t>
              </w:r>
            </w:hyperlink>
          </w:p>
        </w:tc>
      </w:tr>
      <w:tr>
        <w:trPr/>
        <w:tc>
          <w:tcPr>
            <w:tcW w:w="9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both"/>
              <w:rPr/>
            </w:pPr>
            <w:hyperlink w:anchor="scl-ex32.htm">
              <w:r>
                <w:rPr>
                  <w:rStyle w:val="InternetLink"/>
                  <w:rFonts w:ascii="Times New Roman" w:hAnsi="Times New Roman"/>
                  <w:color w:val="0000FF"/>
                  <w:sz w:val="20"/>
                  <w:u w:val="single"/>
                </w:rPr>
                <w:t>Certification pursuant to 18 U.S.C. Section 1350</w:t>
              </w:r>
            </w:hyperlink>
          </w:p>
        </w:tc>
      </w:tr>
      <w:tr>
        <w:trPr/>
        <w:tc>
          <w:tcPr>
            <w:tcW w:w="9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9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 xml:space="preserve">Inline XBRL Taxonomy Extension Schema with Embedded Linkbases Document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6" w:type="dxa"/>
            <w:tcBorders/>
            <w:tcMar>
              <w:top w:w="0" w:type="dxa"/>
              <w:left w:w="0" w:type="dxa"/>
              <w:bottom w:w="0" w:type="dxa"/>
              <w:right w:w="0" w:type="dxa"/>
            </w:tcMar>
            <w:vAlign w:val="center"/>
          </w:tcPr>
          <w:p>
            <w:pPr>
              <w:pStyle w:val="TableContents"/>
              <w:bidi w:val="0"/>
              <w:spacing w:before="0" w:after="283"/>
              <w:ind w:left="0" w:right="0" w:firstLine="720"/>
              <w:jc w:val="center"/>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r>
        <w:trPr/>
        <w:tc>
          <w:tcPr>
            <w:tcW w:w="235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825"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c>
          <w:tcPr>
            <w:tcW w:w="4030"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STEPAN COMPANY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283"/>
              <w:jc w:val="left"/>
              <w:rPr>
                <w:sz w:val="4"/>
                <w:szCs w:val="4"/>
              </w:rPr>
            </w:pPr>
            <w:r>
              <w:rPr>
                <w:sz w:val="4"/>
                <w:szCs w:val="4"/>
              </w:rPr>
            </w:r>
          </w:p>
        </w:tc>
      </w:tr>
      <w:tr>
        <w:trPr/>
        <w:tc>
          <w:tcPr>
            <w:tcW w:w="3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Ruben D. Velasquez</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Ruben D. Velasquez</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 w:name="scl-ex31_1.htm"/>
      <w:bookmarkStart w:id="3" w:name="kssclex31_1"/>
      <w:bookmarkEnd w:id="2"/>
      <w:bookmarkEnd w:id="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PRESIDENT AND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EXCHANGE ACT RULE 13a-14(a)/15d-14(a)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Luis E. Rojo,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Stepan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Luis E. Rojo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Luis E. Rojo</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 w:name="scl-ex31_2.htm"/>
      <w:bookmarkStart w:id="5" w:name="kssclex31_2"/>
      <w:bookmarkEnd w:id="4"/>
      <w:bookmarkEnd w:id="5"/>
      <w:r>
        <w:rPr>
          <w:rFonts w:ascii="Times New Roman" w:hAnsi="Times New Roman"/>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OF VICE PRESIDENT AND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EXCHANGE ACT RULE 13a-14(a)/15d-14(a)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Ruben D. Velasquez,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Stepan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5, 2026</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283"/>
              <w:jc w:val="left"/>
              <w:rPr>
                <w:sz w:val="4"/>
                <w:szCs w:val="4"/>
              </w:rPr>
            </w:pPr>
            <w:r>
              <w:rPr>
                <w:sz w:val="4"/>
                <w:szCs w:val="4"/>
              </w:rPr>
            </w:r>
          </w:p>
        </w:tc>
      </w:tr>
      <w:tr>
        <w:trPr/>
        <w:tc>
          <w:tcPr>
            <w:tcW w:w="35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Ruben D. Velasquez</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Ruben D. Velasquez</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scl-ex32.htm"/>
      <w:bookmarkStart w:id="7" w:name="kssclex32"/>
      <w:bookmarkEnd w:id="6"/>
      <w:bookmarkEnd w:id="7"/>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Stepan Company (the “Company”) on Form 10-Q for the period ended June 30, 2026, as filed with the Securities and Exchange Commission on the date hereof (the “Report”), each of the undersigned officers of the Company certifies, pursuant to 18 U.S.C. § 1350, as adopted pursuant to § 906 of the Sarbanes-Oxley Act of 2002, that, to such officer’s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Luis E. Rojo</w:t>
            </w:r>
          </w:p>
        </w:tc>
      </w:tr>
      <w:tr>
        <w:trPr/>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Luis E. Rojo</w:t>
            </w:r>
          </w:p>
        </w:tc>
      </w:tr>
      <w:tr>
        <w:trPr/>
        <w:tc>
          <w:tcPr>
            <w:tcW w:w="37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President and Chief Executive Officer</w:t>
            </w:r>
          </w:p>
        </w:tc>
      </w:tr>
    </w:tbl>
    <w:p>
      <w:pPr>
        <w:pStyle w:val="TextBody"/>
        <w:bidi w:val="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Ruben D. Velasquez</w:t>
            </w:r>
          </w:p>
        </w:tc>
      </w:tr>
      <w:tr>
        <w:trPr/>
        <w:tc>
          <w:tcPr>
            <w:tcW w:w="4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 Ruben D. Velasquez</w:t>
            </w:r>
          </w:p>
        </w:tc>
      </w:tr>
      <w:tr>
        <w:trPr/>
        <w:tc>
          <w:tcPr>
            <w:tcW w:w="4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 Vice President and Chief Financial Officer</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22891</Words>
  <Characters>126511</Characters>
  <CharactersWithSpaces>151872</CharactersWithSpaces>
  <Paragraphs>9327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