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 w:lineRule="exact"/>
        <w:rPr>
          <w:sz w:val="24"/>
          <w:szCs w:val="24"/>
          <w:color w:val="auto"/>
        </w:rPr>
      </w:pPr>
    </w:p>
    <w:p>
      <w:pPr>
        <w:ind w:left="520" w:right="260" w:hanging="512"/>
        <w:spacing w:after="0" w:line="245" w:lineRule="auto"/>
        <w:tabs>
          <w:tab w:leader="none" w:pos="44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21" w:lineRule="exact"/>
        <w:rPr>
          <w:sz w:val="24"/>
          <w:szCs w:val="24"/>
          <w:color w:val="auto"/>
        </w:rPr>
      </w:pPr>
    </w:p>
    <w:p>
      <w:pPr>
        <w:ind w:left="520" w:right="240" w:hanging="512"/>
        <w:spacing w:after="0" w:line="262" w:lineRule="auto"/>
        <w:tabs>
          <w:tab w:leader="none" w:pos="491"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08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4102735</wp:posOffset>
            </wp:positionH>
            <wp:positionV relativeFrom="paragraph">
              <wp:posOffset>-5080</wp:posOffset>
            </wp:positionV>
            <wp:extent cx="428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1-4462</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STEPAN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Borders>
              <w:bottom w:val="single" w:sz="8" w:color="auto"/>
            </w:tcBorders>
          </w:tcPr>
          <w:p>
            <w:pPr>
              <w:jc w:val="center"/>
              <w:ind w:left="224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3"/>
          </w:tcPr>
          <w:p>
            <w:pPr>
              <w:jc w:val="right"/>
              <w:ind w:right="2248"/>
              <w:spacing w:after="0"/>
              <w:rPr>
                <w:sz w:val="20"/>
                <w:szCs w:val="20"/>
                <w:color w:val="auto"/>
              </w:rPr>
            </w:pPr>
            <w:r>
              <w:rPr>
                <w:rFonts w:ascii="Times New Roman" w:cs="Times New Roman" w:eastAsia="Times New Roman" w:hAnsi="Times New Roman"/>
                <w:sz w:val="18"/>
                <w:szCs w:val="18"/>
                <w:b w:val="1"/>
                <w:bCs w:val="1"/>
                <w:color w:val="auto"/>
              </w:rPr>
              <w:t>36-1823834</w:t>
            </w:r>
          </w:p>
        </w:tc>
        <w:tc>
          <w:tcPr>
            <w:tcW w:w="0" w:type="dxa"/>
            <w:vAlign w:val="bottom"/>
          </w:tcPr>
          <w:p>
            <w:pPr>
              <w:spacing w:after="0"/>
              <w:rPr>
                <w:sz w:val="1"/>
                <w:szCs w:val="1"/>
                <w:color w:val="auto"/>
              </w:rPr>
            </w:pPr>
          </w:p>
        </w:tc>
      </w:tr>
      <w:tr>
        <w:trPr>
          <w:trHeight w:val="18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60" w:type="dxa"/>
            <w:vAlign w:val="bottom"/>
            <w:gridSpan w:val="3"/>
          </w:tcPr>
          <w:p>
            <w:pPr>
              <w:jc w:val="center"/>
              <w:ind w:right="1368"/>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c>
          <w:tcPr>
            <w:tcW w:w="0" w:type="dxa"/>
            <w:vAlign w:val="bottom"/>
          </w:tcPr>
          <w:p>
            <w:pPr>
              <w:spacing w:after="0"/>
              <w:rPr>
                <w:sz w:val="1"/>
                <w:szCs w:val="1"/>
                <w:color w:val="auto"/>
              </w:rPr>
            </w:pPr>
          </w:p>
        </w:tc>
      </w:tr>
      <w:tr>
        <w:trPr>
          <w:trHeight w:val="260"/>
        </w:trPr>
        <w:tc>
          <w:tcPr>
            <w:tcW w:w="3200" w:type="dxa"/>
            <w:vAlign w:val="bottom"/>
          </w:tcPr>
          <w:p>
            <w:pPr>
              <w:spacing w:after="0"/>
              <w:rPr>
                <w:sz w:val="22"/>
                <w:szCs w:val="22"/>
                <w:color w:val="auto"/>
              </w:rPr>
            </w:pPr>
          </w:p>
        </w:tc>
        <w:tc>
          <w:tcPr>
            <w:tcW w:w="8040" w:type="dxa"/>
            <w:vAlign w:val="bottom"/>
            <w:gridSpan w:val="8"/>
          </w:tcPr>
          <w:p>
            <w:pPr>
              <w:jc w:val="center"/>
              <w:ind w:right="3128"/>
              <w:spacing w:after="0"/>
              <w:rPr>
                <w:sz w:val="20"/>
                <w:szCs w:val="20"/>
                <w:color w:val="auto"/>
              </w:rPr>
            </w:pPr>
            <w:r>
              <w:rPr>
                <w:rFonts w:ascii="Times New Roman" w:cs="Times New Roman" w:eastAsia="Times New Roman" w:hAnsi="Times New Roman"/>
                <w:sz w:val="18"/>
                <w:szCs w:val="18"/>
                <w:b w:val="1"/>
                <w:bCs w:val="1"/>
                <w:color w:val="auto"/>
                <w:w w:val="99"/>
              </w:rPr>
              <w:t>1101 Skokie Boulevard, Suite 500, Northbrook, Illinois 60062</w:t>
            </w: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gridSpan w:val="3"/>
          </w:tcPr>
          <w:p>
            <w:pPr>
              <w:jc w:val="center"/>
              <w:ind w:left="179"/>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20" w:type="dxa"/>
            <w:vAlign w:val="bottom"/>
            <w:gridSpan w:val="6"/>
          </w:tcPr>
          <w:p>
            <w:pPr>
              <w:jc w:val="center"/>
              <w:ind w:right="372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(847) 446-7500</w:t>
            </w:r>
          </w:p>
        </w:tc>
        <w:tc>
          <w:tcPr>
            <w:tcW w:w="0" w:type="dxa"/>
            <w:vAlign w:val="bottom"/>
          </w:tcPr>
          <w:p>
            <w:pPr>
              <w:spacing w:after="0"/>
              <w:rPr>
                <w:sz w:val="1"/>
                <w:szCs w:val="1"/>
                <w:color w:val="auto"/>
              </w:rPr>
            </w:pPr>
          </w:p>
        </w:tc>
      </w:tr>
      <w:tr>
        <w:trPr>
          <w:trHeight w:val="272"/>
        </w:trPr>
        <w:tc>
          <w:tcPr>
            <w:tcW w:w="3200" w:type="dxa"/>
            <w:vAlign w:val="bottom"/>
            <w:vMerge w:val="restart"/>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040" w:type="dxa"/>
            <w:vAlign w:val="bottom"/>
            <w:gridSpan w:val="8"/>
          </w:tcPr>
          <w:p>
            <w:pPr>
              <w:jc w:val="center"/>
              <w:ind w:right="312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Exchange Act:</w:t>
            </w:r>
          </w:p>
        </w:tc>
        <w:tc>
          <w:tcPr>
            <w:tcW w:w="0" w:type="dxa"/>
            <w:vAlign w:val="bottom"/>
          </w:tcPr>
          <w:p>
            <w:pPr>
              <w:spacing w:after="0"/>
              <w:rPr>
                <w:sz w:val="1"/>
                <w:szCs w:val="1"/>
                <w:color w:val="auto"/>
              </w:rPr>
            </w:pPr>
          </w:p>
        </w:tc>
      </w:tr>
      <w:tr>
        <w:trPr>
          <w:trHeight w:val="173"/>
        </w:trPr>
        <w:tc>
          <w:tcPr>
            <w:tcW w:w="320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360" w:type="dxa"/>
            <w:vAlign w:val="bottom"/>
            <w:tcBorders>
              <w:bottom w:val="single" w:sz="8" w:color="auto"/>
            </w:tcBorders>
            <w:gridSpan w:val="3"/>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200" w:type="dxa"/>
            <w:vAlign w:val="bottom"/>
          </w:tcPr>
          <w:p>
            <w:pPr>
              <w:jc w:val="center"/>
              <w:ind w:left="324"/>
              <w:spacing w:after="0"/>
              <w:rPr>
                <w:sz w:val="20"/>
                <w:szCs w:val="20"/>
                <w:color w:val="auto"/>
              </w:rPr>
            </w:pPr>
            <w:r>
              <w:rPr>
                <w:rFonts w:ascii="Times New Roman" w:cs="Times New Roman" w:eastAsia="Times New Roman" w:hAnsi="Times New Roman"/>
                <w:sz w:val="14"/>
                <w:szCs w:val="14"/>
                <w:color w:val="auto"/>
              </w:rPr>
              <w:t>Common Stock, $1 par value</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60" w:type="dxa"/>
            <w:vAlign w:val="bottom"/>
            <w:gridSpan w:val="3"/>
          </w:tcPr>
          <w:p>
            <w:pPr>
              <w:jc w:val="center"/>
              <w:ind w:left="139"/>
              <w:spacing w:after="0"/>
              <w:rPr>
                <w:sz w:val="20"/>
                <w:szCs w:val="20"/>
                <w:color w:val="auto"/>
              </w:rPr>
            </w:pPr>
            <w:r>
              <w:rPr>
                <w:rFonts w:ascii="Times New Roman" w:cs="Times New Roman" w:eastAsia="Times New Roman" w:hAnsi="Times New Roman"/>
                <w:sz w:val="14"/>
                <w:szCs w:val="14"/>
                <w:color w:val="auto"/>
              </w:rPr>
              <w:t>SCL</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113"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4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180" w:type="dxa"/>
        <w:tblCellMar>
          <w:top w:w="0" w:type="dxa"/>
          <w:left w:w="0" w:type="dxa"/>
          <w:bottom w:w="0" w:type="dxa"/>
          <w:right w:w="0" w:type="dxa"/>
        </w:tblCellMar>
      </w:tblPr>
      <w:tr>
        <w:trPr>
          <w:trHeight w:val="242"/>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8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Accelerated filer</w:t>
            </w:r>
          </w:p>
        </w:tc>
        <w:tc>
          <w:tcPr>
            <w:tcW w:w="10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8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8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00"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61" w:lineRule="exact"/>
        <w:tabs>
          <w:tab w:leader="none" w:pos="71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7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w:t>
            </w:r>
          </w:p>
        </w:tc>
        <w:tc>
          <w:tcPr>
            <w:tcW w:w="3880" w:type="dxa"/>
            <w:vAlign w:val="bottom"/>
          </w:tcPr>
          <w:p>
            <w:pPr>
              <w:spacing w:after="0"/>
              <w:rPr>
                <w:sz w:val="16"/>
                <w:szCs w:val="16"/>
                <w:color w:val="auto"/>
              </w:rPr>
            </w:pPr>
          </w:p>
        </w:tc>
      </w:tr>
      <w:tr>
        <w:trPr>
          <w:trHeight w:val="280"/>
        </w:trPr>
        <w:tc>
          <w:tcPr>
            <w:tcW w:w="7360" w:type="dxa"/>
            <w:vAlign w:val="bottom"/>
            <w:gridSpan w:val="3"/>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38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Outstanding at April 30, 2026</w:t>
            </w:r>
          </w:p>
        </w:tc>
      </w:tr>
      <w:tr>
        <w:trPr>
          <w:trHeight w:val="204"/>
        </w:trPr>
        <w:tc>
          <w:tcPr>
            <w:tcW w:w="5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$1 par value</w:t>
            </w:r>
          </w:p>
        </w:tc>
        <w:tc>
          <w:tcPr>
            <w:tcW w:w="220" w:type="dxa"/>
            <w:vAlign w:val="bottom"/>
            <w:tcBorders>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spacing w:after="0"/>
              <w:rPr>
                <w:sz w:val="17"/>
                <w:szCs w:val="17"/>
                <w:color w:val="auto"/>
              </w:rPr>
            </w:pPr>
          </w:p>
        </w:tc>
        <w:tc>
          <w:tcPr>
            <w:tcW w:w="38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22,713,323 Shares</w:t>
            </w:r>
          </w:p>
        </w:tc>
      </w:tr>
      <w:tr>
        <w:trPr>
          <w:trHeight w:val="241"/>
        </w:trPr>
        <w:tc>
          <w:tcPr>
            <w:tcW w:w="55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tcPr>
          <w:p>
            <w:pPr>
              <w:spacing w:after="0"/>
              <w:rPr>
                <w:sz w:val="21"/>
                <w:szCs w:val="21"/>
                <w:color w:val="auto"/>
              </w:rPr>
            </w:pPr>
          </w:p>
        </w:tc>
      </w:tr>
      <w:tr>
        <w:trPr>
          <w:trHeight w:val="973"/>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STEPAN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Three Months Ended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6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March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r>
      <w:tr>
        <w:trPr>
          <w:trHeight w:val="20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604,509</w:t>
            </w:r>
          </w:p>
        </w:tc>
        <w:tc>
          <w:tcPr>
            <w:tcW w:w="1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593,255</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517,792</w:t>
            </w:r>
          </w:p>
        </w:tc>
        <w:tc>
          <w:tcPr>
            <w:tcW w:w="100" w:type="dxa"/>
            <w:vAlign w:val="bottom"/>
          </w:tcPr>
          <w:p>
            <w:pPr>
              <w:spacing w:after="0"/>
              <w:rPr>
                <w:sz w:val="18"/>
                <w:szCs w:val="18"/>
                <w:color w:val="auto"/>
              </w:rPr>
            </w:pPr>
          </w:p>
        </w:tc>
      </w:tr>
      <w:tr>
        <w:trPr>
          <w:trHeight w:val="20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64,851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75,463</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Selling</w:t>
            </w:r>
          </w:p>
        </w:tc>
        <w:tc>
          <w:tcPr>
            <w:tcW w:w="1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12,108</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Administrative</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development and technical services</w:t>
            </w:r>
          </w:p>
        </w:tc>
        <w:tc>
          <w:tcPr>
            <w:tcW w:w="1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14,649</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compensation (income) expense</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(996)</w:t>
            </w:r>
          </w:p>
        </w:tc>
      </w:tr>
      <w:tr>
        <w:trPr>
          <w:trHeight w:val="209"/>
        </w:trPr>
        <w:tc>
          <w:tcPr>
            <w:tcW w:w="65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47,175</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Business restructuring (Note 16)</w:t>
            </w:r>
          </w:p>
        </w:tc>
        <w:tc>
          <w:tcPr>
            <w:tcW w:w="1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(49,622)</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28,288</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net</w:t>
            </w:r>
          </w:p>
        </w:tc>
        <w:tc>
          <w:tcPr>
            <w:tcW w:w="1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(5,011)</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(4,126)</w:t>
            </w:r>
          </w:p>
        </w:tc>
      </w:tr>
      <w:tr>
        <w:trPr>
          <w:trHeight w:val="216"/>
        </w:trPr>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net (Note 15)</w:t>
            </w:r>
          </w:p>
        </w:tc>
        <w:tc>
          <w:tcPr>
            <w:tcW w:w="1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8"/>
                <w:szCs w:val="18"/>
                <w:color w:val="auto"/>
              </w:rPr>
            </w:pPr>
          </w:p>
        </w:tc>
      </w:tr>
      <w:tr>
        <w:trPr>
          <w:trHeight w:val="210"/>
        </w:trPr>
        <w:tc>
          <w:tcPr>
            <w:tcW w:w="65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(4,867)</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(3,624)</w:t>
            </w:r>
          </w:p>
        </w:tc>
      </w:tr>
      <w:tr>
        <w:trPr>
          <w:trHeight w:val="209"/>
        </w:trPr>
        <w:tc>
          <w:tcPr>
            <w:tcW w:w="6540" w:type="dxa"/>
            <w:vAlign w:val="bottom"/>
            <w:tcBorders>
              <w:top w:val="single" w:sz="8" w:color="CFF0FC"/>
            </w:tcBorders>
          </w:tcPr>
          <w:p>
            <w:pPr>
              <w:spacing w:after="0"/>
              <w:rPr>
                <w:sz w:val="18"/>
                <w:szCs w:val="18"/>
                <w:color w:val="auto"/>
              </w:rPr>
            </w:pPr>
          </w:p>
        </w:tc>
        <w:tc>
          <w:tcPr>
            <w:tcW w:w="16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(54,489)</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24,664</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(41,406)</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Common Share (Note 10):</w:t>
            </w:r>
          </w:p>
        </w:tc>
        <w:tc>
          <w:tcPr>
            <w:tcW w:w="1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54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9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(1.81)</w:t>
            </w:r>
          </w:p>
        </w:tc>
        <w:tc>
          <w:tcPr>
            <w:tcW w:w="560" w:type="dxa"/>
            <w:vAlign w:val="bottom"/>
            <w:gridSpan w:val="2"/>
            <w:shd w:val="clear" w:color="auto" w:fill="CFF0FC"/>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FF0FC"/>
          </w:tcPr>
          <w:p>
            <w:pPr>
              <w:spacing w:after="0"/>
              <w:rPr>
                <w:sz w:val="20"/>
                <w:szCs w:val="20"/>
                <w:color w:val="auto"/>
              </w:rPr>
            </w:pPr>
          </w:p>
        </w:tc>
      </w:tr>
      <w:tr>
        <w:trPr>
          <w:trHeight w:val="197"/>
        </w:trPr>
        <w:tc>
          <w:tcPr>
            <w:tcW w:w="6540" w:type="dxa"/>
            <w:vAlign w:val="bottom"/>
            <w:tcBorders>
              <w:top w:val="single" w:sz="8" w:color="CFF0FC"/>
            </w:tcBorders>
          </w:tcPr>
          <w:p>
            <w:pPr>
              <w:spacing w:after="0"/>
              <w:rPr>
                <w:sz w:val="17"/>
                <w:szCs w:val="17"/>
                <w:color w:val="auto"/>
              </w:rPr>
            </w:pPr>
          </w:p>
        </w:tc>
        <w:tc>
          <w:tcPr>
            <w:tcW w:w="16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to Compute Net Income Per Common Share (Note 10):</w:t>
            </w:r>
          </w:p>
        </w:tc>
        <w:tc>
          <w:tcPr>
            <w:tcW w:w="1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22,867</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540" w:type="dxa"/>
            <w:vAlign w:val="bottom"/>
            <w:tcBorders>
              <w:bottom w:val="single" w:sz="8" w:color="CFF0FC"/>
            </w:tcBorders>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22,888</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22,890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-1765300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-624840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-607695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STEPAN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6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March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8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(41,406)</w:t>
            </w:r>
          </w:p>
        </w:tc>
        <w:tc>
          <w:tcPr>
            <w:tcW w:w="6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(Note 11)</w:t>
            </w:r>
          </w:p>
        </w:tc>
        <w:tc>
          <w:tcPr>
            <w:tcW w:w="1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21,609</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benefit pension adjustments, net of tax (Note 11)</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Derivative instrument activity, net of tax (Note 11)</w:t>
            </w:r>
          </w:p>
        </w:tc>
        <w:tc>
          <w:tcPr>
            <w:tcW w:w="1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(1,114)</w:t>
            </w:r>
          </w:p>
        </w:tc>
      </w:tr>
      <w:tr>
        <w:trPr>
          <w:trHeight w:val="209"/>
        </w:trPr>
        <w:tc>
          <w:tcPr>
            <w:tcW w:w="6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72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100" w:type="dxa"/>
            <w:vAlign w:val="bottom"/>
            <w:tcBorders>
              <w:top w:val="single" w:sz="8" w:color="CFF0FC"/>
            </w:tcBorders>
          </w:tcPr>
          <w:p>
            <w:pPr>
              <w:spacing w:after="0"/>
              <w:rPr>
                <w:sz w:val="18"/>
                <w:szCs w:val="18"/>
                <w:color w:val="auto"/>
              </w:rPr>
            </w:pPr>
          </w:p>
        </w:tc>
      </w:tr>
      <w:tr>
        <w:trPr>
          <w:trHeight w:val="22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7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(41,104)</w:t>
            </w:r>
          </w:p>
        </w:tc>
        <w:tc>
          <w:tcPr>
            <w:tcW w:w="6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40,261</w:t>
            </w:r>
          </w:p>
        </w:tc>
        <w:tc>
          <w:tcPr>
            <w:tcW w:w="100" w:type="dxa"/>
            <w:vAlign w:val="bottom"/>
            <w:shd w:val="clear" w:color="auto" w:fill="CFF0FC"/>
          </w:tcPr>
          <w:p>
            <w:pPr>
              <w:spacing w:after="0"/>
              <w:rPr>
                <w:sz w:val="19"/>
                <w:szCs w:val="19"/>
                <w:color w:val="auto"/>
              </w:rPr>
            </w:pP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STEPAN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4"/>
                <w:szCs w:val="14"/>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March 31, 2026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140,775</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 (Note 6)</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906,238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858,959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2,744,684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2,787,036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(1,596,520)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(1,567,409)</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1,148,164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1,219,627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investments (Note 3)</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assets (Note 7)</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2,333,337</w:t>
            </w:r>
          </w:p>
        </w:tc>
        <w:tc>
          <w:tcPr>
            <w:tcW w:w="1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2,357,702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Liabilities and Equity</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debt (Note 14)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323,310</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720,453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666,494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less current maturities (Note 14)</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328,415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 (Note 7)</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(Note 8)</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$1 par value; authorized 60,000,000 shares;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27,446,721 issued shares in 2026 and 27,301,177 issued shares in 2025</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(Note 11)</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(138,672)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(138,974)</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1,235,383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1,285,752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Less: Common treasury stock, at cost, 4,735,238 shares in 2026</w:t>
            </w:r>
          </w:p>
        </w:tc>
        <w:tc>
          <w:tcPr>
            <w:tcW w:w="200" w:type="dxa"/>
            <w:vAlign w:val="bottom"/>
          </w:tcPr>
          <w:p>
            <w:pPr>
              <w:spacing w:after="0"/>
              <w:rPr>
                <w:sz w:val="17"/>
                <w:szCs w:val="17"/>
                <w:color w:val="auto"/>
              </w:rPr>
            </w:pPr>
          </w:p>
        </w:tc>
        <w:tc>
          <w:tcPr>
            <w:tcW w:w="1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(193,334)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(189,889)</w:t>
            </w:r>
          </w:p>
        </w:tc>
        <w:tc>
          <w:tcPr>
            <w:tcW w:w="0" w:type="dxa"/>
            <w:vAlign w:val="bottom"/>
          </w:tcPr>
          <w:p>
            <w:pPr>
              <w:spacing w:after="0"/>
              <w:rPr>
                <w:sz w:val="1"/>
                <w:szCs w:val="1"/>
                <w:color w:val="auto"/>
              </w:rPr>
            </w:pPr>
          </w:p>
        </w:tc>
      </w:tr>
      <w:tr>
        <w:trPr>
          <w:trHeight w:val="221"/>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4,676,739 shares in 2025</w:t>
            </w:r>
          </w:p>
        </w:tc>
        <w:tc>
          <w:tcPr>
            <w:tcW w:w="20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1,193,024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1,244,010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2,333,337</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-3830955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-2990850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-2973705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-2133600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-1842135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-1550670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STEPAN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142"/>
        </w:trPr>
        <w:tc>
          <w:tcPr>
            <w:tcW w:w="5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r>
      <w:tr>
        <w:trPr>
          <w:trHeight w:val="21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(41,406)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100" w:type="dxa"/>
            <w:vAlign w:val="bottom"/>
          </w:tcPr>
          <w:p>
            <w:pPr>
              <w:spacing w:after="0"/>
              <w:rPr>
                <w:sz w:val="18"/>
                <w:szCs w:val="18"/>
                <w:color w:val="auto"/>
              </w:rPr>
            </w:pPr>
          </w:p>
        </w:tc>
      </w:tr>
      <w:tr>
        <w:trPr>
          <w:trHeight w:val="198"/>
        </w:trPr>
        <w:tc>
          <w:tcPr>
            <w:tcW w:w="59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w:t>
            </w:r>
          </w:p>
        </w:tc>
        <w:tc>
          <w:tcPr>
            <w:tcW w:w="18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provided by (used in) operating activities:</w:t>
            </w:r>
          </w:p>
        </w:tc>
        <w:tc>
          <w:tcPr>
            <w:tcW w:w="1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29,270</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compensation (income) expense</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(996)</w:t>
            </w:r>
          </w:p>
        </w:tc>
      </w:tr>
      <w:tr>
        <w:trPr>
          <w:trHeight w:val="216"/>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and unrealized loss on long-term investments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Business restructuring</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64,844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non-cash items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Receivables, net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(40,348)</w:t>
            </w:r>
          </w:p>
        </w:tc>
      </w:tr>
      <w:tr>
        <w:trPr>
          <w:trHeight w:val="216"/>
        </w:trPr>
        <w:tc>
          <w:tcPr>
            <w:tcW w:w="5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(16,892)</w:t>
            </w:r>
          </w:p>
        </w:tc>
      </w:tr>
      <w:tr>
        <w:trPr>
          <w:trHeight w:val="216"/>
        </w:trPr>
        <w:tc>
          <w:tcPr>
            <w:tcW w:w="5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current assets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(11,070)</w:t>
            </w:r>
          </w:p>
        </w:tc>
      </w:tr>
      <w:tr>
        <w:trPr>
          <w:trHeight w:val="216"/>
        </w:trPr>
        <w:tc>
          <w:tcPr>
            <w:tcW w:w="5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27,361</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Pension liabilities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5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Environmental and legal liabilities</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(2,076)</w:t>
            </w:r>
          </w:p>
        </w:tc>
      </w:tr>
      <w:tr>
        <w:trPr>
          <w:trHeight w:val="216"/>
        </w:trPr>
        <w:tc>
          <w:tcPr>
            <w:tcW w:w="5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w:t>
            </w:r>
          </w:p>
        </w:tc>
      </w:tr>
      <w:tr>
        <w:trPr>
          <w:trHeight w:val="209"/>
        </w:trPr>
        <w:tc>
          <w:tcPr>
            <w:tcW w:w="59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(30,888)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(32,748)</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tcPr>
          <w:p>
            <w:pPr>
              <w:spacing w:after="0"/>
              <w:rPr>
                <w:sz w:val="18"/>
                <w:szCs w:val="18"/>
                <w:color w:val="auto"/>
              </w:rPr>
            </w:pPr>
          </w:p>
        </w:tc>
      </w:tr>
      <w:tr>
        <w:trPr>
          <w:trHeight w:val="210"/>
        </w:trPr>
        <w:tc>
          <w:tcPr>
            <w:tcW w:w="59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(22,910)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(26,411)</w:t>
            </w:r>
          </w:p>
        </w:tc>
      </w:tr>
      <w:tr>
        <w:trPr>
          <w:trHeight w:val="209"/>
        </w:trPr>
        <w:tc>
          <w:tcPr>
            <w:tcW w:w="5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debt and bank overdrafts, net (Note 14)</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33,800</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debt repayments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(8,963)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(8,684)</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(2,715)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(2,437)</w:t>
            </w:r>
          </w:p>
        </w:tc>
      </w:tr>
      <w:tr>
        <w:trPr>
          <w:trHeight w:val="210"/>
        </w:trPr>
        <w:tc>
          <w:tcPr>
            <w:tcW w:w="59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13,602</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100" w:type="dxa"/>
            <w:vAlign w:val="bottom"/>
            <w:tcBorders>
              <w:top w:val="single" w:sz="8" w:color="CFF0FC"/>
            </w:tcBorders>
          </w:tcPr>
          <w:p>
            <w:pPr>
              <w:spacing w:after="0"/>
              <w:rPr>
                <w:sz w:val="18"/>
                <w:szCs w:val="18"/>
                <w:color w:val="auto"/>
              </w:rPr>
            </w:pPr>
          </w:p>
        </w:tc>
      </w:tr>
      <w:tr>
        <w:trPr>
          <w:trHeight w:val="210"/>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100" w:type="dxa"/>
            <w:vAlign w:val="bottom"/>
          </w:tcPr>
          <w:p>
            <w:pPr>
              <w:spacing w:after="0"/>
              <w:rPr>
                <w:sz w:val="18"/>
                <w:szCs w:val="18"/>
                <w:color w:val="auto"/>
              </w:rPr>
            </w:pPr>
          </w:p>
        </w:tc>
      </w:tr>
      <w:tr>
        <w:trPr>
          <w:trHeight w:val="216"/>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132,688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140,775</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107,492</w:t>
            </w:r>
          </w:p>
        </w:tc>
        <w:tc>
          <w:tcPr>
            <w:tcW w:w="10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8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payments of income taxes, net of refunds</w:t>
            </w:r>
          </w:p>
        </w:tc>
        <w:tc>
          <w:tcPr>
            <w:tcW w:w="2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20" w:type="dxa"/>
            <w:vAlign w:val="bottom"/>
            <w:shd w:val="clear" w:color="auto" w:fill="CFF0FC"/>
          </w:tcPr>
          <w:p>
            <w:pPr>
              <w:ind w:left="280"/>
              <w:spacing w:after="0" w:line="196" w:lineRule="exact"/>
              <w:rPr>
                <w:sz w:val="20"/>
                <w:szCs w:val="20"/>
                <w:color w:val="auto"/>
              </w:rPr>
            </w:pPr>
            <w:r>
              <w:rPr>
                <w:rFonts w:ascii="Times New Roman" w:cs="Times New Roman" w:eastAsia="Times New Roman" w:hAnsi="Times New Roman"/>
                <w:sz w:val="18"/>
                <w:szCs w:val="18"/>
                <w:color w:val="auto"/>
              </w:rPr>
              <w:t>Cash payments of interest</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6,000</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6,761</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-2605405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-2039620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-1207770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-633730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STEPAN COMPANY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CONDENSED CONSOLIDATED FINANCIAL STATEMENTS</w:t>
      </w:r>
    </w:p>
    <w:p>
      <w:pPr>
        <w:spacing w:after="0" w:line="117" w:lineRule="exact"/>
        <w:rPr>
          <w:rFonts w:ascii="Times New Roman" w:cs="Times New Roman" w:eastAsia="Times New Roman" w:hAnsi="Times New Roman"/>
          <w:sz w:val="18"/>
          <w:szCs w:val="18"/>
          <w:color w:val="auto"/>
        </w:rPr>
      </w:pPr>
    </w:p>
    <w:p>
      <w:pPr>
        <w:jc w:val="both"/>
        <w:ind w:left="5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financial statements included herein have been prepared by Stepan Company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although management believes that the disclosures are adequate and make the information presented not misleading. In the opinion of management, all adjustments, consisting only of normal recurring accruals, necessary to present fairly the Company’s financial position as of March 31, 2026, its results of operations for the three months ended March 31, 2026 and 2025 and cash flows for the three months ended March 31, 2026 and 2025, have been included. These financial statements and related footnotes should be read in conjunction with the financial statements and related footnotes included in the Company’s Annual Report on Form 10-K for the year ended December 31, 2025 (2025 Annual Report on Form 10-K).</w:t>
      </w:r>
    </w:p>
    <w:p>
      <w:pPr>
        <w:spacing w:after="0" w:line="17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RECONCILIATIONS OF EQUITY</w:t>
      </w:r>
    </w:p>
    <w:p>
      <w:pPr>
        <w:spacing w:after="0" w:line="11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are reconciliations of total equity for the three months ended March 31, 2026 and 2025:</w:t>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i w:val="1"/>
                <w:iCs w:val="1"/>
                <w:color w:val="auto"/>
              </w:rPr>
              <w:t>Additional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Common</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Accumulated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i w:val="1"/>
                <w:iCs w:val="1"/>
                <w:color w:val="auto"/>
              </w:rPr>
              <w:t>Common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i w:val="1"/>
                <w:iCs w:val="1"/>
                <w:color w:val="auto"/>
              </w:rPr>
              <w:t>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Retained</w:t>
            </w:r>
          </w:p>
        </w:tc>
        <w:tc>
          <w:tcPr>
            <w:tcW w:w="0" w:type="dxa"/>
            <w:vAlign w:val="bottom"/>
          </w:tcPr>
          <w:p>
            <w:pPr>
              <w:spacing w:after="0"/>
              <w:rPr>
                <w:sz w:val="1"/>
                <w:szCs w:val="1"/>
                <w:color w:val="auto"/>
              </w:rPr>
            </w:pPr>
          </w:p>
        </w:tc>
      </w:tr>
      <w:tr>
        <w:trPr>
          <w:trHeight w:val="148"/>
        </w:trPr>
        <w:tc>
          <w:tcPr>
            <w:tcW w:w="2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i w:val="1"/>
                <w:iCs w:val="1"/>
                <w:color w:val="auto"/>
              </w:rPr>
              <w:t>Total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i w:val="1"/>
                <w:iCs w:val="1"/>
                <w:color w:val="auto"/>
              </w:rPr>
              <w:t>Paid-in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i w:val="1"/>
                <w:iCs w:val="1"/>
                <w:color w:val="auto"/>
              </w:rPr>
              <w:t>Treasury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i w:val="1"/>
                <w:iCs w:val="1"/>
                <w:color w:val="auto"/>
              </w:rPr>
              <w:t>Comprehensive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i w:val="1"/>
                <w:iCs w:val="1"/>
                <w:color w:val="auto"/>
              </w:rPr>
              <w:t>Stock</w:t>
            </w:r>
          </w:p>
        </w:tc>
        <w:tc>
          <w:tcPr>
            <w:tcW w:w="160" w:type="dxa"/>
            <w:vAlign w:val="bottom"/>
          </w:tcPr>
          <w:p>
            <w:pPr>
              <w:spacing w:after="0"/>
              <w:rPr>
                <w:sz w:val="15"/>
                <w:szCs w:val="15"/>
                <w:color w:val="auto"/>
              </w:rPr>
            </w:pPr>
          </w:p>
        </w:tc>
        <w:tc>
          <w:tcPr>
            <w:tcW w:w="880" w:type="dxa"/>
            <w:vAlign w:val="bottom"/>
          </w:tcPr>
          <w:p>
            <w:pPr>
              <w:jc w:val="right"/>
              <w:ind w:right="228"/>
              <w:spacing w:after="0"/>
              <w:rPr>
                <w:sz w:val="20"/>
                <w:szCs w:val="20"/>
                <w:color w:val="auto"/>
              </w:rPr>
            </w:pPr>
            <w:r>
              <w:rPr>
                <w:rFonts w:ascii="Times New Roman" w:cs="Times New Roman" w:eastAsia="Times New Roman" w:hAnsi="Times New Roman"/>
                <w:sz w:val="14"/>
                <w:szCs w:val="14"/>
                <w:i w:val="1"/>
                <w:iCs w:val="1"/>
                <w:color w:val="auto"/>
              </w:rPr>
              <w:t>Capital</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Stock</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Income (Loss)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Earnings</w:t>
            </w:r>
          </w:p>
        </w:tc>
        <w:tc>
          <w:tcPr>
            <w:tcW w:w="0" w:type="dxa"/>
            <w:vAlign w:val="bottom"/>
          </w:tcPr>
          <w:p>
            <w:pPr>
              <w:spacing w:after="0"/>
              <w:rPr>
                <w:sz w:val="1"/>
                <w:szCs w:val="1"/>
                <w:color w:val="auto"/>
              </w:rPr>
            </w:pPr>
          </w:p>
        </w:tc>
      </w:tr>
      <w:tr>
        <w:trPr>
          <w:trHeight w:val="142"/>
        </w:trPr>
        <w:tc>
          <w:tcPr>
            <w:tcW w:w="28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2025</w:t>
            </w:r>
          </w:p>
        </w:tc>
        <w:tc>
          <w:tcPr>
            <w:tcW w:w="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1,244,010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27,301</w:t>
            </w: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259,820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(189,889)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(138,974)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1,285,752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6,694 shares of common</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under incentive compensation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plan</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and deferred compensation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(41,406)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(41,406)</w:t>
            </w: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8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paid: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Common stock ($0.395 per share)</w:t>
            </w:r>
          </w:p>
        </w:tc>
        <w:tc>
          <w:tcPr>
            <w:tcW w:w="1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(8,963)</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tcBorders>
              <w:right w:val="single" w:sz="8" w:color="CFF0FC"/>
            </w:tcBorders>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(8,963)</w:t>
            </w:r>
          </w:p>
        </w:tc>
        <w:tc>
          <w:tcPr>
            <w:tcW w:w="0" w:type="dxa"/>
            <w:vAlign w:val="bottom"/>
          </w:tcPr>
          <w:p>
            <w:pPr>
              <w:spacing w:after="0"/>
              <w:rPr>
                <w:sz w:val="1"/>
                <w:szCs w:val="1"/>
                <w:color w:val="auto"/>
              </w:rPr>
            </w:pPr>
          </w:p>
        </w:tc>
      </w:tr>
      <w:tr>
        <w:trPr>
          <w:trHeight w:val="142"/>
        </w:trPr>
        <w:tc>
          <w:tcPr>
            <w:tcW w:w="286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March 31, 2026</w:t>
            </w:r>
          </w:p>
        </w:tc>
        <w:tc>
          <w:tcPr>
            <w:tcW w:w="120" w:type="dxa"/>
            <w:vAlign w:val="bottom"/>
            <w:tcBorders>
              <w:top w:val="single" w:sz="8" w:color="CFF0FC"/>
              <w:bottom w:val="single" w:sz="8" w:color="CFF0FC"/>
            </w:tcBorders>
          </w:tcPr>
          <w:p>
            <w:pPr>
              <w:spacing w:after="0"/>
              <w:rPr>
                <w:sz w:val="12"/>
                <w:szCs w:val="12"/>
                <w:color w:val="auto"/>
              </w:rPr>
            </w:pPr>
          </w:p>
        </w:tc>
        <w:tc>
          <w:tcPr>
            <w:tcW w:w="6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1,193,024</w:t>
            </w: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gridSpan w:val="2"/>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27,447</w:t>
            </w: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262,200</w:t>
            </w:r>
          </w:p>
        </w:tc>
        <w:tc>
          <w:tcPr>
            <w:tcW w:w="60" w:type="dxa"/>
            <w:vAlign w:val="bottom"/>
            <w:tcBorders>
              <w:top w:val="single" w:sz="8" w:color="CFF0FC"/>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gridSpan w:val="3"/>
          </w:tcPr>
          <w:p>
            <w:pPr>
              <w:jc w:val="right"/>
              <w:ind w:right="3"/>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(193,334)</w:t>
            </w:r>
          </w:p>
        </w:tc>
        <w:tc>
          <w:tcPr>
            <w:tcW w:w="40" w:type="dxa"/>
            <w:vAlign w:val="bottom"/>
            <w:tcBorders>
              <w:top w:val="single" w:sz="8" w:color="CFF0FC"/>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(138,672)</w:t>
            </w:r>
          </w:p>
        </w:tc>
        <w:tc>
          <w:tcPr>
            <w:tcW w:w="20" w:type="dxa"/>
            <w:vAlign w:val="bottom"/>
            <w:tcBorders>
              <w:top w:val="single" w:sz="8" w:color="CFF0FC"/>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1,235,383</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i w:val="1"/>
                <w:iCs w:val="1"/>
                <w:color w:val="auto"/>
              </w:rPr>
              <w:t>Additional</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Common</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i w:val="1"/>
                <w:iCs w:val="1"/>
                <w:color w:val="auto"/>
              </w:rPr>
              <w:t>Common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i w:val="1"/>
                <w:iCs w:val="1"/>
                <w:color w:val="auto"/>
              </w:rPr>
              <w:t>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Retained</w:t>
            </w:r>
          </w:p>
        </w:tc>
        <w:tc>
          <w:tcPr>
            <w:tcW w:w="0" w:type="dxa"/>
            <w:vAlign w:val="bottom"/>
          </w:tcPr>
          <w:p>
            <w:pPr>
              <w:spacing w:after="0"/>
              <w:rPr>
                <w:sz w:val="1"/>
                <w:szCs w:val="1"/>
                <w:color w:val="auto"/>
              </w:rPr>
            </w:pPr>
          </w:p>
        </w:tc>
      </w:tr>
      <w:tr>
        <w:trPr>
          <w:trHeight w:val="149"/>
        </w:trPr>
        <w:tc>
          <w:tcPr>
            <w:tcW w:w="2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i w:val="1"/>
                <w:iCs w:val="1"/>
                <w:color w:val="auto"/>
              </w:rPr>
              <w:t>Total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i w:val="1"/>
                <w:iCs w:val="1"/>
                <w:color w:val="auto"/>
              </w:rPr>
              <w:t>Paid-in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i w:val="1"/>
                <w:iCs w:val="1"/>
                <w:color w:val="auto"/>
              </w:rPr>
              <w:t>Treasury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i w:val="1"/>
                <w:iCs w:val="1"/>
                <w:color w:val="auto"/>
              </w:rPr>
              <w:t>Comprehensive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i w:val="1"/>
                <w:iCs w:val="1"/>
                <w:color w:val="auto"/>
              </w:rPr>
              <w:t>Stock</w:t>
            </w:r>
          </w:p>
        </w:tc>
        <w:tc>
          <w:tcPr>
            <w:tcW w:w="160" w:type="dxa"/>
            <w:vAlign w:val="bottom"/>
          </w:tcPr>
          <w:p>
            <w:pPr>
              <w:spacing w:after="0"/>
              <w:rPr>
                <w:sz w:val="15"/>
                <w:szCs w:val="15"/>
                <w:color w:val="auto"/>
              </w:rPr>
            </w:pP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4"/>
                <w:szCs w:val="14"/>
                <w:i w:val="1"/>
                <w:iCs w:val="1"/>
                <w:color w:val="auto"/>
              </w:rPr>
              <w:t>Capital</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Stock</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Income (Loss)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Earnings</w:t>
            </w:r>
          </w:p>
        </w:tc>
        <w:tc>
          <w:tcPr>
            <w:tcW w:w="0" w:type="dxa"/>
            <w:vAlign w:val="bottom"/>
          </w:tcPr>
          <w:p>
            <w:pPr>
              <w:spacing w:after="0"/>
              <w:rPr>
                <w:sz w:val="1"/>
                <w:szCs w:val="1"/>
                <w:color w:val="auto"/>
              </w:rPr>
            </w:pPr>
          </w:p>
        </w:tc>
      </w:tr>
      <w:tr>
        <w:trPr>
          <w:trHeight w:val="142"/>
        </w:trPr>
        <w:tc>
          <w:tcPr>
            <w:tcW w:w="28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2024</w:t>
            </w:r>
          </w:p>
        </w:tc>
        <w:tc>
          <w:tcPr>
            <w:tcW w:w="1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1,169,934</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27,156</w:t>
            </w:r>
          </w:p>
        </w:tc>
        <w:tc>
          <w:tcPr>
            <w:tcW w:w="200" w:type="dxa"/>
            <w:vAlign w:val="bottom"/>
          </w:tcPr>
          <w:p>
            <w:pPr>
              <w:spacing w:after="0"/>
              <w:rPr>
                <w:sz w:val="12"/>
                <w:szCs w:val="12"/>
                <w:color w:val="auto"/>
              </w:rPr>
            </w:pPr>
          </w:p>
        </w:tc>
        <w:tc>
          <w:tcPr>
            <w:tcW w:w="1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253,779</w:t>
            </w:r>
          </w:p>
        </w:tc>
        <w:tc>
          <w:tcPr>
            <w:tcW w:w="100" w:type="dxa"/>
            <w:vAlign w:val="bottom"/>
            <w:gridSpan w:val="2"/>
          </w:tcPr>
          <w:p>
            <w:pPr>
              <w:spacing w:after="0"/>
              <w:rPr>
                <w:sz w:val="12"/>
                <w:szCs w:val="12"/>
                <w:color w:val="auto"/>
              </w:rPr>
            </w:pPr>
          </w:p>
        </w:tc>
        <w:tc>
          <w:tcPr>
            <w:tcW w:w="180" w:type="dxa"/>
            <w:vAlign w:val="bottom"/>
            <w:tcBorders>
              <w:top w:val="single" w:sz="8" w:color="auto"/>
            </w:tcBorders>
            <w:gridSpan w:val="2"/>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(188,049)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(196,838)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1,273,886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1,943 shares of common</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under incentive compensation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plan</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and deferred compensation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6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8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19,711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20,550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20,550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paid: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Common stock ($0.385 per share)</w:t>
            </w:r>
          </w:p>
        </w:tc>
        <w:tc>
          <w:tcPr>
            <w:tcW w:w="1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(8,684)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(8,684)</w:t>
            </w: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March 31, 2025</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1,200,538</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27,253</w:t>
            </w:r>
          </w:p>
        </w:tc>
        <w:tc>
          <w:tcPr>
            <w:tcW w:w="200" w:type="dxa"/>
            <w:vAlign w:val="bottom"/>
          </w:tcPr>
          <w:p>
            <w:pPr>
              <w:spacing w:after="0"/>
              <w:rPr>
                <w:sz w:val="12"/>
                <w:szCs w:val="12"/>
                <w:color w:val="auto"/>
              </w:rPr>
            </w:pPr>
          </w:p>
        </w:tc>
        <w:tc>
          <w:tcPr>
            <w:tcW w:w="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254,366</w:t>
            </w:r>
          </w:p>
        </w:tc>
        <w:tc>
          <w:tcPr>
            <w:tcW w:w="280" w:type="dxa"/>
            <w:vAlign w:val="bottom"/>
            <w:tcBorders>
              <w:bottom w:val="single" w:sz="8" w:color="auto"/>
            </w:tcBorders>
            <w:gridSpan w:val="4"/>
          </w:tcPr>
          <w:p>
            <w:pPr>
              <w:jc w:val="right"/>
              <w:ind w:right="43"/>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(189,706)</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gridSpan w:val="3"/>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(176,288)</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gridSpan w:val="3"/>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1,284,913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-2159635</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-2159635</wp:posOffset>
            </wp:positionV>
            <wp:extent cx="59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-2159635</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-2159635</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-2159635</wp:posOffset>
            </wp:positionV>
            <wp:extent cx="59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-2159635</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-128270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-128270</wp:posOffset>
            </wp:positionV>
            <wp:extent cx="59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-128270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-128270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-128270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-128270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ind w:left="520" w:right="8140" w:hanging="512"/>
        <w:spacing w:after="0" w:line="397" w:lineRule="auto"/>
        <w:tabs>
          <w:tab w:leader="none" w:pos="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FAIR VALUE MEASUREMENTS </w:t>
      </w:r>
      <w:r>
        <w:rPr>
          <w:rFonts w:ascii="Times New Roman" w:cs="Times New Roman" w:eastAsia="Times New Roman" w:hAnsi="Times New Roman"/>
          <w:sz w:val="17"/>
          <w:szCs w:val="17"/>
          <w:i w:val="1"/>
          <w:iCs w:val="1"/>
          <w:color w:val="auto"/>
        </w:rPr>
        <w:t>Cash and cash equivalents</w:t>
      </w:r>
    </w:p>
    <w:p>
      <w:pPr>
        <w:spacing w:after="0" w:line="1" w:lineRule="exact"/>
        <w:rPr>
          <w:rFonts w:ascii="Times New Roman" w:cs="Times New Roman" w:eastAsia="Times New Roman" w:hAnsi="Times New Roman"/>
          <w:sz w:val="17"/>
          <w:szCs w:val="17"/>
          <w:color w:val="auto"/>
        </w:rPr>
      </w:pPr>
    </w:p>
    <w:p>
      <w:pPr>
        <w:jc w:val="both"/>
        <w:ind w:left="5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Carrying value approximated fair value because of the short maturity of the instruments. Fair value of cash and cash equivalents is a Level 1 measurement. The Company's cash and cash equivalents included money market funds totaling $18,527,000 and $13,807,000 at March 31, 2026 and December 31, 2025, respectively.</w:t>
      </w:r>
    </w:p>
    <w:p>
      <w:pPr>
        <w:spacing w:after="0" w:line="55"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i w:val="1"/>
          <w:iCs w:val="1"/>
          <w:color w:val="auto"/>
        </w:rPr>
        <w:t>Derivative assets and liabilities</w:t>
      </w:r>
    </w:p>
    <w:p>
      <w:pPr>
        <w:spacing w:after="0" w:line="115" w:lineRule="exact"/>
        <w:rPr>
          <w:rFonts w:ascii="Times New Roman" w:cs="Times New Roman" w:eastAsia="Times New Roman" w:hAnsi="Times New Roman"/>
          <w:sz w:val="17"/>
          <w:szCs w:val="17"/>
          <w:color w:val="auto"/>
        </w:rPr>
      </w:pPr>
    </w:p>
    <w:p>
      <w:pPr>
        <w:jc w:val="both"/>
        <w:ind w:left="52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Derivative assets and liabilities include the foreign currency exchange and interest rate swap contracts discussed in Note 4,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of the notes to the Company’s condensed consolidated financial statements (included in Item 1 of this Form 10-Q). Fair value and carrying value were the same because the contracts were recorded at fair value. The fair values of the foreign currency contracts were calculated as the difference between the applicable forward foreign exchange rates at the reporting date and the contracted foreign exchange rates multiplied by the contracted notional amounts. The fair value of the interest rate swap was calculated as the difference between the contracted swap rate and the floating interest rate multiplied by the present value of the notional amount of the contract.</w:t>
      </w:r>
    </w:p>
    <w:p>
      <w:pPr>
        <w:spacing w:after="0" w:line="184" w:lineRule="exact"/>
        <w:rPr>
          <w:sz w:val="20"/>
          <w:szCs w:val="20"/>
          <w:color w:val="auto"/>
        </w:rPr>
      </w:pPr>
    </w:p>
    <w:p>
      <w:pPr>
        <w:jc w:val="both"/>
        <w:ind w:left="520" w:firstLine="509"/>
        <w:spacing w:after="0" w:line="266" w:lineRule="auto"/>
        <w:rPr>
          <w:sz w:val="20"/>
          <w:szCs w:val="20"/>
          <w:color w:val="auto"/>
        </w:rPr>
      </w:pPr>
      <w:r>
        <w:rPr>
          <w:rFonts w:ascii="Times New Roman" w:cs="Times New Roman" w:eastAsia="Times New Roman" w:hAnsi="Times New Roman"/>
          <w:sz w:val="18"/>
          <w:szCs w:val="18"/>
          <w:color w:val="auto"/>
        </w:rPr>
        <w:t>The Company's fair value measurements for debt fall in Level 2 of the fair value hierarchy. At March 31, 2026, and December 31, 2025, the fair values and related carrying values of debt, including current maturities, were as follows (the fair value and carrying value amounts are presented without regard to unamortized debt issuance costs of $246,000 and $275,000 as of March 31, 2026 and December 31, 2025, respectively):</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4"/>
                <w:szCs w:val="14"/>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3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4"/>
                <w:szCs w:val="14"/>
                <w:color w:val="auto"/>
              </w:rPr>
            </w:pPr>
          </w:p>
        </w:tc>
      </w:tr>
      <w:tr>
        <w:trPr>
          <w:trHeight w:val="20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2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639,782</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619,027</w:t>
            </w:r>
          </w:p>
        </w:tc>
        <w:tc>
          <w:tcPr>
            <w:tcW w:w="100" w:type="dxa"/>
            <w:vAlign w:val="bottom"/>
            <w:shd w:val="clear" w:color="auto" w:fill="CFF0FC"/>
          </w:tcPr>
          <w:p>
            <w:pPr>
              <w:spacing w:after="0"/>
              <w:rPr>
                <w:sz w:val="18"/>
                <w:szCs w:val="18"/>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2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651,971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626,985</w:t>
            </w:r>
          </w:p>
        </w:tc>
        <w:tc>
          <w:tcPr>
            <w:tcW w:w="100" w:type="dxa"/>
            <w:vAlign w:val="bottom"/>
          </w:tcPr>
          <w:p>
            <w:pPr>
              <w:spacing w:after="0"/>
              <w:rPr>
                <w:sz w:val="20"/>
                <w:szCs w:val="20"/>
                <w:color w:val="auto"/>
              </w:rPr>
            </w:pPr>
          </w:p>
        </w:tc>
      </w:tr>
    </w:tbl>
    <w:p>
      <w:pPr>
        <w:spacing w:after="0" w:line="287" w:lineRule="exact"/>
        <w:rPr>
          <w:sz w:val="20"/>
          <w:szCs w:val="20"/>
          <w:color w:val="auto"/>
        </w:rPr>
      </w:pPr>
    </w:p>
    <w:p>
      <w:pPr>
        <w:ind w:left="520"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financial assets and liabilities, excluding cash and cash equivalents, measured on a recurring basis at fair value as of March 31, 2026, and December 31, 2025, and the level within the fair value hierarchy in which the fair value measurements fall:</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275"/>
              <w:spacing w:after="0"/>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Level 3</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Mutual fund assets</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rate contracts</w:t>
            </w:r>
          </w:p>
        </w:tc>
        <w:tc>
          <w:tcPr>
            <w:tcW w:w="1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15,597</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20" w:type="dxa"/>
            <w:vAlign w:val="bottom"/>
          </w:tcPr>
          <w:p>
            <w:pPr>
              <w:spacing w:after="0"/>
              <w:rPr>
                <w:sz w:val="17"/>
                <w:szCs w:val="17"/>
                <w:color w:val="auto"/>
              </w:rPr>
            </w:pPr>
          </w:p>
        </w:tc>
        <w:tc>
          <w:tcPr>
            <w:tcW w:w="3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Derivative liabilities:</w:t>
            </w:r>
          </w:p>
        </w:tc>
        <w:tc>
          <w:tcPr>
            <w:tcW w:w="11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322"/>
        </w:trPr>
        <w:tc>
          <w:tcPr>
            <w:tcW w:w="20" w:type="dxa"/>
            <w:vAlign w:val="bottom"/>
          </w:tcPr>
          <w:p>
            <w:pPr>
              <w:spacing w:after="0"/>
              <w:rPr>
                <w:sz w:val="24"/>
                <w:szCs w:val="24"/>
                <w:color w:val="auto"/>
              </w:rPr>
            </w:pPr>
          </w:p>
        </w:tc>
        <w:tc>
          <w:tcPr>
            <w:tcW w:w="3120" w:type="dxa"/>
            <w:vAlign w:val="bottom"/>
            <w:tcBorders>
              <w:top w:val="single" w:sz="8" w:color="CFF0FC"/>
            </w:tcBorders>
          </w:tcPr>
          <w:p>
            <w:pPr>
              <w:spacing w:after="0"/>
              <w:rPr>
                <w:sz w:val="24"/>
                <w:szCs w:val="24"/>
                <w:color w:val="auto"/>
              </w:rPr>
            </w:pPr>
          </w:p>
        </w:tc>
        <w:tc>
          <w:tcPr>
            <w:tcW w:w="11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71"/>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Level 3</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Mutual fund assets</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rate contracts</w:t>
            </w:r>
          </w:p>
        </w:tc>
        <w:tc>
          <w:tcPr>
            <w:tcW w:w="1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23,667</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3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Derivative liabilities:</w:t>
            </w:r>
          </w:p>
        </w:tc>
        <w:tc>
          <w:tcPr>
            <w:tcW w:w="11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-1679575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-1662430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-1679575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-1662430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-1679575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-1662430</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-1679575</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-1662430</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-1379220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-1362075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-1379220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-1362075</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-1379220</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-1362075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-1379220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-1362075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-325120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-307975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-325120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-307975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-325120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-307975</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-325120</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-307975</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p>
    <w:p>
      <w:pPr>
        <w:spacing w:after="0" w:line="117" w:lineRule="exact"/>
        <w:rPr>
          <w:rFonts w:ascii="Times New Roman" w:cs="Times New Roman" w:eastAsia="Times New Roman" w:hAnsi="Times New Roman"/>
          <w:sz w:val="18"/>
          <w:szCs w:val="18"/>
          <w:color w:val="auto"/>
        </w:rPr>
      </w:pPr>
    </w:p>
    <w:p>
      <w:pPr>
        <w:jc w:val="both"/>
        <w:ind w:left="5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2026, and December 31, 2025, the Company had open forward foreign currency exchange contracts to buy or sell foreign currencies with U.S. dollar equivalent amounts of $45,805,000 and $57,755,000, respectively. All forward foreign exchange contracts at March 31, 2026 had durations of one month to three months.</w:t>
      </w:r>
    </w:p>
    <w:p>
      <w:pPr>
        <w:spacing w:after="0" w:line="176" w:lineRule="exact"/>
        <w:rPr>
          <w:sz w:val="20"/>
          <w:szCs w:val="20"/>
          <w:color w:val="auto"/>
        </w:rPr>
      </w:pPr>
    </w:p>
    <w:p>
      <w:pPr>
        <w:ind w:left="520"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is currently exposed to volatility in short-term interest rates and has mitigated certain portions of that risk by using an interest rate swap. The interest rate swap is recognized on the balance sheet as either an asset or a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measured at fair value. At March 31, 2026, the Company held an interest rate swap contract with a notional value of $100,000,000 that was designated as a cash flow hedge. Period-to-period changes in the fair value of the interest rate swap are initially recognized as gains or losses in other comprehensive income. As the interest rate swap contract is settled, the corresponding gain or loss is reclassified out of accumulated other comprehensive income (AOCI) into earnings. The maturity date of the current interest swap contract is March 10, 2027, which is closely aligned with the June 24, 2027 maturity of the Company's revolving credit facility.</w:t>
      </w:r>
    </w:p>
    <w:p>
      <w:pPr>
        <w:spacing w:after="0" w:line="181" w:lineRule="exact"/>
        <w:rPr>
          <w:sz w:val="20"/>
          <w:szCs w:val="20"/>
          <w:color w:val="auto"/>
        </w:rPr>
      </w:pPr>
    </w:p>
    <w:p>
      <w:pPr>
        <w:jc w:val="both"/>
        <w:ind w:left="5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fair values of the derivative instruments held by the Company on March 31, 2026, and December 31, 2025, are disclosed in Note 3,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w:t>
      </w:r>
      <w:r>
        <w:rPr>
          <w:rFonts w:ascii="Times New Roman" w:cs="Times New Roman" w:eastAsia="Times New Roman" w:hAnsi="Times New Roman"/>
          <w:sz w:val="18"/>
          <w:szCs w:val="18"/>
          <w:color w:val="auto"/>
        </w:rPr>
        <w:t>, of the notes to the Company’s condensed consolidated financial statements (included in Item 1 of this Form 10-Q).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Derivative instrument gains and losses for the three months ended March 31, 2026 and 2025, were immaterial. For amounts reclassified out of AOCI into earnings for the three months ended March 31, 2026 and 2025, see Note 11, </w:t>
      </w:r>
      <w:r>
        <w:rPr>
          <w:rFonts w:ascii="Times New Roman" w:cs="Times New Roman" w:eastAsia="Times New Roman" w:hAnsi="Times New Roman"/>
          <w:sz w:val="18"/>
          <w:szCs w:val="18"/>
          <w:i w:val="1"/>
          <w:iCs w:val="1"/>
          <w:color w:val="auto"/>
        </w:rPr>
        <w:t>Accumulated Other Comprehensive Income (Loss)</w:t>
      </w:r>
      <w:r>
        <w:rPr>
          <w:rFonts w:ascii="Times New Roman" w:cs="Times New Roman" w:eastAsia="Times New Roman" w:hAnsi="Times New Roman"/>
          <w:sz w:val="18"/>
          <w:szCs w:val="18"/>
          <w:color w:val="auto"/>
        </w:rPr>
        <w:t>, of the notes to the Company’s condensed consolidated financial statements (included in Item 1 of this Form 10-Q).</w:t>
      </w:r>
    </w:p>
    <w:p>
      <w:pPr>
        <w:spacing w:after="0" w:line="185"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STOCK-BASED COMPENSATION</w:t>
      </w:r>
    </w:p>
    <w:p>
      <w:pPr>
        <w:spacing w:after="0" w:line="117" w:lineRule="exact"/>
        <w:rPr>
          <w:rFonts w:ascii="Times New Roman" w:cs="Times New Roman" w:eastAsia="Times New Roman" w:hAnsi="Times New Roman"/>
          <w:sz w:val="18"/>
          <w:szCs w:val="18"/>
          <w:color w:val="auto"/>
        </w:rPr>
      </w:pPr>
    </w:p>
    <w:p>
      <w:pPr>
        <w:ind w:left="5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expense recorded for all stock options, performance shares, time-based restricted stock units (RSUs) and stock appreciation rights (SARs) was as follows:</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p>
      <w:pPr>
        <w:jc w:val="center"/>
        <w:ind w:right="80"/>
        <w:spacing w:after="0" w:line="229" w:lineRule="auto"/>
        <w:rPr>
          <w:sz w:val="20"/>
          <w:szCs w:val="20"/>
          <w:color w:val="auto"/>
        </w:rPr>
      </w:pPr>
      <w:r>
        <w:rPr>
          <w:rFonts w:ascii="Times New Roman" w:cs="Times New Roman" w:eastAsia="Times New Roman" w:hAnsi="Times New Roman"/>
          <w:sz w:val="14"/>
          <w:szCs w:val="14"/>
          <w:color w:val="auto"/>
        </w:rPr>
        <w:t>Three Months Ended</w:t>
      </w:r>
    </w:p>
    <w:p>
      <w:pPr>
        <w:jc w:val="center"/>
        <w:ind w:right="80"/>
        <w:spacing w:after="0" w:line="232" w:lineRule="auto"/>
        <w:rPr>
          <w:sz w:val="20"/>
          <w:szCs w:val="20"/>
          <w:color w:val="auto"/>
        </w:rPr>
      </w:pPr>
      <w:r>
        <w:rPr>
          <w:rFonts w:ascii="Times New Roman" w:cs="Times New Roman" w:eastAsia="Times New Roman" w:hAnsi="Times New Roman"/>
          <w:sz w:val="14"/>
          <w:szCs w:val="14"/>
          <w:color w:val="auto"/>
        </w:rPr>
        <w:t>March 31,</w:t>
      </w:r>
    </w:p>
    <w:tbl>
      <w:tblPr>
        <w:tblLayout w:type="fixed"/>
        <w:tblInd w:w="11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980" w:type="dxa"/>
            <w:vAlign w:val="bottom"/>
            <w:tcBorders>
              <w:top w:val="single" w:sz="8" w:color="auto"/>
              <w:bottom w:val="single" w:sz="8" w:color="auto"/>
            </w:tcBorders>
          </w:tcPr>
          <w:p>
            <w:pPr>
              <w:jc w:val="right"/>
              <w:ind w:right="716"/>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3160" w:type="dxa"/>
            <w:vAlign w:val="bottom"/>
            <w:tcBorders>
              <w:top w:val="single" w:sz="8" w:color="auto"/>
              <w:bottom w:val="single" w:sz="8" w:color="auto"/>
            </w:tcBorders>
          </w:tcPr>
          <w:p>
            <w:pPr>
              <w:jc w:val="right"/>
              <w:ind w:right="1879"/>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FF0FC"/>
          </w:tcPr>
          <w:p>
            <w:pPr>
              <w:jc w:val="right"/>
              <w:ind w:right="285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56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Unrecognized compensation costs for stock options, performance shares, RSUs and SARs were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57"/>
              <w:spacing w:after="0"/>
              <w:rPr>
                <w:sz w:val="20"/>
                <w:szCs w:val="20"/>
                <w:color w:val="auto"/>
              </w:rPr>
            </w:pPr>
            <w:r>
              <w:rPr>
                <w:rFonts w:ascii="Times New Roman" w:cs="Times New Roman" w:eastAsia="Times New Roman" w:hAnsi="Times New Roman"/>
                <w:sz w:val="14"/>
                <w:szCs w:val="14"/>
                <w:color w:val="auto"/>
              </w:rPr>
              <w:t>March 31,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4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4"/>
                <w:szCs w:val="14"/>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shares and RSUs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8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SARs</w:t>
            </w:r>
          </w:p>
        </w:tc>
        <w:tc>
          <w:tcPr>
            <w:tcW w:w="2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change in unrecognized compensation costs for stock options, performance shares, RSUs and SARs is due to new grants issued in 2026.</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Company granted the following awards in the first three months of 2026:</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6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Shares</w:t>
            </w: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8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shares (at target) and RSUs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202,174</w:t>
            </w:r>
          </w:p>
        </w:tc>
        <w:tc>
          <w:tcPr>
            <w:tcW w:w="80" w:type="dxa"/>
            <w:vAlign w:val="bottom"/>
          </w:tcPr>
          <w:p>
            <w:pPr>
              <w:spacing w:after="0"/>
              <w:rPr>
                <w:sz w:val="18"/>
                <w:szCs w:val="18"/>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SARs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138,815</w:t>
            </w:r>
          </w:p>
        </w:tc>
        <w:tc>
          <w:tcPr>
            <w:tcW w:w="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520" w:firstLine="509"/>
        <w:spacing w:after="0" w:line="282" w:lineRule="auto"/>
        <w:rPr>
          <w:sz w:val="20"/>
          <w:szCs w:val="20"/>
          <w:color w:val="auto"/>
        </w:rPr>
      </w:pPr>
      <w:r>
        <w:rPr>
          <w:rFonts w:ascii="Times New Roman" w:cs="Times New Roman" w:eastAsia="Times New Roman" w:hAnsi="Times New Roman"/>
          <w:sz w:val="18"/>
          <w:szCs w:val="18"/>
          <w:color w:val="auto"/>
        </w:rPr>
        <w:t>The unrecognized compensation costs at March 31, 2026, are expected to be recognized over weighted-average periods of 2.2 years for stock options, 2.4 years for performance shares and RSUs and 2.3 years for SARs.</w:t>
      </w:r>
    </w:p>
    <w:p>
      <w:pPr>
        <w:spacing w:after="0" w:line="16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INVENTORIES</w:t>
      </w:r>
    </w:p>
    <w:p>
      <w:pPr>
        <w:spacing w:after="0" w:line="11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inventories at March 31, 2026, and December 31, 2025,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57"/>
              <w:spacing w:after="0"/>
              <w:rPr>
                <w:sz w:val="20"/>
                <w:szCs w:val="20"/>
                <w:color w:val="auto"/>
              </w:rPr>
            </w:pPr>
            <w:r>
              <w:rPr>
                <w:rFonts w:ascii="Times New Roman" w:cs="Times New Roman" w:eastAsia="Times New Roman" w:hAnsi="Times New Roman"/>
                <w:sz w:val="14"/>
                <w:szCs w:val="14"/>
                <w:color w:val="auto"/>
              </w:rPr>
              <w:t>March 31,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4020" w:type="dxa"/>
            <w:vAlign w:val="bottom"/>
            <w:gridSpan w:val="2"/>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0"/>
        </w:trPr>
        <w:tc>
          <w:tcPr>
            <w:tcW w:w="1140" w:type="dxa"/>
            <w:vAlign w:val="bottom"/>
          </w:tcPr>
          <w:p>
            <w:pPr>
              <w:spacing w:after="0"/>
              <w:rPr>
                <w:sz w:val="18"/>
                <w:szCs w:val="18"/>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201,699</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220,094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87,321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2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inventories</w:t>
            </w:r>
          </w:p>
        </w:tc>
        <w:tc>
          <w:tcPr>
            <w:tcW w:w="3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289,020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298,827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9"/>
        </w:trPr>
        <w:tc>
          <w:tcPr>
            <w:tcW w:w="1140" w:type="dxa"/>
            <w:vAlign w:val="bottom"/>
          </w:tcPr>
          <w:p>
            <w:pPr>
              <w:spacing w:after="0"/>
              <w:rPr>
                <w:sz w:val="24"/>
                <w:szCs w:val="24"/>
                <w:color w:val="auto"/>
              </w:rPr>
            </w:pPr>
          </w:p>
        </w:tc>
        <w:tc>
          <w:tcPr>
            <w:tcW w:w="2880" w:type="dxa"/>
            <w:vAlign w:val="bottom"/>
            <w:tcBorders>
              <w:top w:val="single" w:sz="8" w:color="CFF0FC"/>
            </w:tcBorders>
          </w:tcPr>
          <w:p>
            <w:pPr>
              <w:spacing w:after="0"/>
              <w:rPr>
                <w:sz w:val="24"/>
                <w:szCs w:val="24"/>
                <w:color w:val="auto"/>
              </w:rPr>
            </w:pPr>
          </w:p>
        </w:tc>
        <w:tc>
          <w:tcPr>
            <w:tcW w:w="3300" w:type="dxa"/>
            <w:vAlign w:val="bottom"/>
            <w:tcBorders>
              <w:top w:val="single" w:sz="8" w:color="CFF0FC"/>
            </w:tcBorders>
          </w:tcPr>
          <w:p>
            <w:pPr>
              <w:jc w:val="right"/>
              <w:ind w:right="157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-933450</wp:posOffset>
            </wp:positionV>
            <wp:extent cx="51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-916305</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p>
    <w:p>
      <w:pPr>
        <w:spacing w:after="0" w:line="11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cost is recognized in both the Cost of Sales and Operating Expenses sections of the Condensed Consolidated Statements of Income.</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March 31,</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Lease Cost</w:t>
            </w:r>
          </w:p>
        </w:tc>
        <w:tc>
          <w:tcPr>
            <w:tcW w:w="6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2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cost</w:t>
            </w:r>
          </w:p>
        </w:tc>
        <w:tc>
          <w:tcPr>
            <w:tcW w:w="16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7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lease cost</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Variable lease cost</w:t>
            </w:r>
          </w:p>
        </w:tc>
        <w:tc>
          <w:tcPr>
            <w:tcW w:w="6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cost</w:t>
            </w:r>
          </w:p>
        </w:tc>
        <w:tc>
          <w:tcPr>
            <w:tcW w:w="16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7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9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measurement of lease liabilities:</w:t>
            </w: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 from operating leases</w:t>
            </w:r>
          </w:p>
        </w:tc>
        <w:tc>
          <w:tcPr>
            <w:tcW w:w="16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7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9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w:t>
            </w: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 new operating lease liabilities</w:t>
            </w: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outlines the maturities of lease liabilities as of March 31, 2026.</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Undiscounted Cash Flows:</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2030</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Subsequent to 2030</w:t>
            </w:r>
          </w:p>
        </w:tc>
        <w:tc>
          <w:tcPr>
            <w:tcW w:w="6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(7,009)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Present value</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90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 xml:space="preserve">Current operating lease liabilities </w:t>
            </w:r>
            <w:r>
              <w:rPr>
                <w:rFonts w:ascii="Times New Roman" w:cs="Times New Roman" w:eastAsia="Times New Roman" w:hAnsi="Times New Roman"/>
                <w:sz w:val="22"/>
                <w:szCs w:val="22"/>
                <w:color w:val="auto"/>
                <w:vertAlign w:val="superscript"/>
              </w:rPr>
              <w:t>(1)</w:t>
            </w:r>
          </w:p>
        </w:tc>
        <w:tc>
          <w:tcPr>
            <w:tcW w:w="6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14,271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6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9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-3325495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-3325495</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-899795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-616585</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4" w:lineRule="exact"/>
        <w:rPr>
          <w:sz w:val="20"/>
          <w:szCs w:val="20"/>
          <w:color w:val="auto"/>
        </w:rPr>
      </w:pPr>
    </w:p>
    <w:p>
      <w:pPr>
        <w:ind w:left="1500" w:hanging="369"/>
        <w:spacing w:after="0"/>
        <w:tabs>
          <w:tab w:leader="none" w:pos="1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item is included in the Accrued liabilities line on the Company’s Condensed Consolidated Balance Sheet.</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term-operating leases</w:t>
            </w:r>
          </w:p>
        </w:tc>
        <w:tc>
          <w:tcPr>
            <w:tcW w:w="2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 Years</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79" w:lineRule="exact"/>
        <w:rPr>
          <w:sz w:val="20"/>
          <w:szCs w:val="20"/>
          <w:color w:val="auto"/>
        </w:rPr>
      </w:pPr>
    </w:p>
    <w:p>
      <w:pPr>
        <w:ind w:left="5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a railcars lease, valued at approximately $356,000, that had not commenced. The lease will commence during the second quarter of 2026 with a lease term of five years.</w:t>
      </w:r>
    </w:p>
    <w:p>
      <w:pPr>
        <w:spacing w:after="0" w:line="162"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CONTINGENCIES</w:t>
      </w:r>
    </w:p>
    <w:p>
      <w:pPr>
        <w:spacing w:after="0" w:line="117" w:lineRule="exact"/>
        <w:rPr>
          <w:rFonts w:ascii="Times New Roman" w:cs="Times New Roman" w:eastAsia="Times New Roman" w:hAnsi="Times New Roman"/>
          <w:sz w:val="18"/>
          <w:szCs w:val="18"/>
          <w:color w:val="auto"/>
        </w:rPr>
      </w:pPr>
    </w:p>
    <w:p>
      <w:pPr>
        <w:jc w:val="both"/>
        <w:ind w:left="5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 variety of legal proceedings pending or threatened against the Company that occur in the normal course of the Company’s business, the majority of which relate to environmental assessment, protection and remediation matters. Some of these proceedings may result in fines, penalties, judgments or costs being assessed against the Company at some future time. The Company’s operations are subject to extensive local, state and federal regulations, including the U.S. Comprehensive Environmental Response, Compensation and Liability Act of 1980 (CERCLA) and the Superfund amendments of 1986 (Superfund) as well as comparable regulations applicable to the Company’s foreign locations. Over the years, the Company has received requests for information related to or has been named by government authorities as a potentially responsible party at a number of sites where cleanup costs have been or may be incurred by the Company under CERCLA and similar state statutes. In addition, the Company is from time to time involved in routine legal proceedings incidental to the conduct of its business, including personal injury, property damage, tax, trade and labor matters. The Company believes that it has made adequate provisions for the costs it is likely to incur with respect to these claims.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determining the appropriate level of environmental reserves, the Company considers several factors such as information obtained from investigatory studies; changes in the scope of remediation; the interpretation, application and enforcement of laws and regulations; changes in the costs of remediation programs; the development of alternative cleanup technologies and methods; and the relative level of the Company’s involvement at various sites for which the Company is allegedly associated. The level of annual expenditures for remedial, monitoring and investigatory activities will change in the future as major components of planned remediation activities are completed and the scope, timing and costs of existing activities are changed. As of March 31, 2026, the Company estimated a range of possible environmental losses and legal losses of $19,825,000 to $46,376,000. Within the range of possible environmental losses and legal losses, management has currently concluded that no single amount is more likely to occur than any other amounts in the range and, thus, has accrued at the lower end of the range. These accruals totaled $19,825,000 at March 31, 2026 and $19,272,000 at December 31, 2025. Although the Company believes that its estimated range of possible environmental losses and legal losses and its reserves are adequate for contingencies, it is possible, due to uncertainties including those noted above, that additional reserves could be required in the future. Cash expenditures related to environmental remediation and certain other legal matters approximated $301,000 and $2,576,000 for the three months ended March 31, 2026 and 2025, respectively.</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certain sites, the Company has responded to information requests made by federal, state or local government agencies but has received no response confirming or denying the Company’s stated positions. As such, estimates of the total costs, or range of possible costs, of remediation, if any, or the Company’s share of such costs, if any, cannot be determined with respect to these sites. Consequently, the Company is unable to predict the effect thereof on the Company’s financial position, cash flows and results of operations. Based on the Company’s present knowledge with respect to its involvement at these sites, the possibility of other viable entities’ responsibilities for cleanup, and the extended period over which any costs would be incurred, management believes that the Company has no material liability at these sites and that these matters, individually and in the aggregate, will not have a material effect on the Company’s financial position. However, in the event of one or more adverse determinations with respect to such sites in any annual or interim period, the effect on the Company’s cash flows and results of operations for those periods could be material.</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Following are summaries of the Company’s major contingencies at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Maywood, New Jersey Site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property in Maywood, New Jersey, property formerly owned by the Company adjacent to its current site and other nearby properties (collectively, the Maywood site) were listed on the National Priorities List in September 1993 pursuant to the provisions of CERCLA because of alleged chemical and radiological contamination. Pursuant to (i) a September 21, 1987 Administrative Order on Consent entered into between the U.S. Environmental Protection Agency (USEPA) and the Company for property formerly owned by the Company at the Maywood site and (ii) the issuance of an order on May 2, 1991 by the USEPA to the Company for property currently owned by the Company at the Maywood site, the Company has completed various Remedial Investigation/Feasibility Studies of soil and groundwater at the Maywood site. On September 24, 2014, the USEPA issued its Record of Decision (ROD) for chemically-contaminated soil at the Maywood site. The ROD was amended pursuant to an Explanation of Significant Differences in January 2021. On February 29, 2024, the U.S. District Court for the District of New Jersey entered a consent decree among the Company, the United States, the New Jersey Department of Environmental Protection (NJDEP) and the New Jersey Spill Compensation Fund Administrator that requires the Company to take certain actions and to pay certain past costs of the United States and NJDEP. The USEPA has not yet issued a ROD for chemically-contaminated groundwater at the Maywood site.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the most current information available, the Company believes its recorded liability is reasonable having considered the range of estimated costs of remediation for the Maywood site. The estimate of the cost of remediation for the Maywood site could change again as the Company continues to hold discussions with the USEPA, as the design of the remedial action is finalized, if a groundwater ROD is issued or if other potentially responsible parties are identified. The ultimate amount for which the Company is liable could differ materially from the Company’s current recorded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D’Imperio Property Site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mid-1970’s, Jerome Lightman and the Lightman Drum Company disposed of hazardous substances generated by the Company at several sites in New Jersey, including the D’Imperio site. The Company was named as a potentially responsible party in an October 2, 1998 lawsuit in the U.S. District Court for the District of New Jersey that involved the D’Imperio Site. The Company is cooperating with other potentially responsible parties to implement the selected remedy. Based on current information, the Company believes that its recorded liability is reasonable having considered the range of estimated cost of remediation for the D’Imperio site. Depending on the ultimate cost of the remediation at this site, the amount for which the Company is liable could differ materially from the Company’s current recorded liability.</w:t>
      </w:r>
    </w:p>
    <w:p>
      <w:pPr>
        <w:spacing w:after="0" w:line="18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20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Wilmington Site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Property formerly owned and operated by the Company in Wilmington, Massachusetts was listed on the National Priorities List in 2006. The Company, together with the current site owner and another potentially responsible party, entered into an Administrative Order on Consent in July 2007 to undertake a Remedial Investigation and Feasibility Study. A ROD was issued by the USEPA on March 30, 2021. The Company and three other potentially responsible parties entered into a consent decree, dated September 28, 2023, with USEPA and the Commonwealth of Massachusetts that requires the remedial design and remedial action of the remedy selected in the ROD for two operable units and an interim remedy for another operable unit. Remediation at this site is being managed by its current owner, to whom the Company sold the property in 1980. The Company is contractually obligated to contribute up to five percent of the environmental response costs incurred by the current owner, with no limitation on the ultimate amount of contributions. The Company had paid the current owner $4,379,000 for the Company’s portion of environmental response costs at the Wilmington site through March 31, 2026. The Company has recorded a liability for its portion of the estimated remediation costs for the site. Depending on the ultimate cost of the remediation at this site, the amount for which the Company is liable could differ materially from the current recorded liability.</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29, 2022, the Company and other potentially responsible parties were notified of a possible joint claim by federal and state trustees for alleged natural resource damages related to the Wilmington site. The alleged damages may result in a range of possible penalties and the Company recorded a liability for this matter during the first quarter of 2024. Depending on the ultimate resolution of this matter, the amount for which the Company is liable could differ materially from the current recorded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Millsdale Site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26, 2024, the Company received a Notice and Finding of Violation from the USEPA alleging violations of air regulations at the Company’s Elwood, Illinois (Millsdale) facility. The notice alleges violations related to operating parameters and air emission requirements. The alleged violations may result in a range of possible penalties, including financial penalties or operational remedies; however, at this stage of the matter, the Company is unable to predict the ultimate outcome or what impact, if any, the outcome might have on the Company’s financial position, results of operations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Sites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the regular environmental monitoring of its plant production sites, the Company discovered levels of chemical contamination that were above thresholds allowed by law at its Millsdale and Fieldsboro, New Jersey plants. The Company voluntarily reported its results to the applicable state environmental agencies. As a result, the Company is required to perform self-remediation of the affected areas. Based on current information, the Company believes that its recorded liability for the remediation of the affected areas is appropriate based on an estimate of expected costs. However, actual costs could differ materially from the current recorded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Brazil Tax Rescission Action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2017, the Brazil Supreme Court ruled that ICMS (State VAT) does not represent a Company’s revenue and should not be included in the calculation basis of certain indirect taxes (PIS/COFINS). Based on the Supreme Court’s decision, the Company’s Brazilian subsidiary filed a lawsuit on March 23, 2017 to recover PIS/COFINS overpayments. The Company’s recovery case was successful and became final in November 2018. In May 2021, the Brazil Supreme Court modulated its original decision so that only taxpayers that had filed lawsuits before March 15, 2017, should recover prior PIS/COFINS overpayments. On June 12, 2023, the Brazil National Treasury filed a rescission action against the Company’s Brazilian subsidiary to rescind its use of the PIS/COFINS tax credits for the period from March 23, 2012, to March 15, 2017. In September and October 2024, the Brazil Superior Court and Supreme Court, respectively, ruled that the generally held two-year “res judicata” principle would start from the May 2021 ruling and not the final ruling in prior taxpayer cases (e.g., November 30, 2018, for the Company’s case). Based on current information, the Company believes that its recorded liability is reasonable; however, depending on the ultimate resolution of this matter, the amount for which the Company is liable could differ materially from the current recorded liability.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19, 2025, the Company received a pre-filing notice from USEPA for alleged violations of the Federal Insecticide, Fungicide, and Rodenticide Act (FIFRA) associated with certain of the Company’s biocide products sold by a licensed distributor. USEPA assessed a civil penalty of $1,126,000, which the Company paid on July 2, 2025. As of March 31, 2026, the Company recovered the entire amount of the USEPA penalty from third parties.</w:t>
      </w:r>
    </w:p>
    <w:p>
      <w:pPr>
        <w:spacing w:after="0" w:line="18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197" w:right="339" w:bottom="1440" w:gutter="0" w:footer="0" w:header="0"/>
        </w:sectPr>
      </w:pPr>
    </w:p>
    <w:bookmarkStart w:id="11" w:name="page12"/>
    <w:bookmarkEnd w:id="11"/>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POSTRETIREMENT BENEFIT PLANS</w:t>
      </w:r>
    </w:p>
    <w:p>
      <w:pPr>
        <w:spacing w:after="0" w:line="113"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Defined Benefit Pension Plans</w:t>
      </w:r>
    </w:p>
    <w:p>
      <w:pPr>
        <w:spacing w:after="0" w:line="121" w:lineRule="exact"/>
        <w:rPr>
          <w:rFonts w:ascii="Times New Roman" w:cs="Times New Roman" w:eastAsia="Times New Roman" w:hAnsi="Times New Roman"/>
          <w:sz w:val="18"/>
          <w:szCs w:val="18"/>
          <w:color w:val="auto"/>
        </w:rPr>
      </w:pPr>
    </w:p>
    <w:p>
      <w:pPr>
        <w:jc w:val="both"/>
        <w:ind w:left="5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sponsors various funded qualified and unfunded non-qualified defined benefit pension plans, the most significant of which cover employees in the U.S. and U.K. locations. The U.S. and U.K. defined benefit pension plans are frozen and service benefits are no longer being accrued.</w:t>
      </w:r>
    </w:p>
    <w:p>
      <w:pPr>
        <w:spacing w:after="0" w:line="171"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Components of Net Periodic Benefit Cost</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60" w:type="dxa"/>
            <w:vAlign w:val="bottom"/>
            <w:gridSpan w:val="4"/>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220" w:type="dxa"/>
            <w:vAlign w:val="bottom"/>
            <w:gridSpan w:val="5"/>
          </w:tcPr>
          <w:p>
            <w:pPr>
              <w:jc w:val="center"/>
              <w:ind w:left="383"/>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228"/>
              <w:spacing w:after="0"/>
              <w:rPr>
                <w:sz w:val="20"/>
                <w:szCs w:val="20"/>
                <w:color w:val="auto"/>
              </w:rPr>
            </w:pPr>
            <w:r>
              <w:rPr>
                <w:rFonts w:ascii="Times New Roman" w:cs="Times New Roman" w:eastAsia="Times New Roman" w:hAnsi="Times New Roman"/>
                <w:sz w:val="14"/>
                <w:szCs w:val="14"/>
                <w:color w:val="auto"/>
              </w:rPr>
              <w:t>March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760" w:type="dxa"/>
            <w:vAlign w:val="bottom"/>
            <w:shd w:val="clear" w:color="auto" w:fill="CFF0FC"/>
          </w:tcPr>
          <w:p>
            <w:pPr>
              <w:jc w:val="right"/>
              <w:ind w:right="60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(1,848)</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760" w:type="dxa"/>
            <w:vAlign w:val="bottom"/>
          </w:tcPr>
          <w:p>
            <w:pPr>
              <w:jc w:val="right"/>
              <w:ind w:right="60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84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20" w:type="dxa"/>
            <w:vAlign w:val="bottom"/>
            <w:tcBorders>
              <w:bottom w:val="single" w:sz="8" w:color="auto"/>
            </w:tcBorders>
            <w:gridSpan w:val="5"/>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2220" w:type="dxa"/>
            <w:vAlign w:val="bottom"/>
            <w:gridSpan w:val="5"/>
          </w:tcPr>
          <w:p>
            <w:pPr>
              <w:jc w:val="center"/>
              <w:ind w:left="383"/>
              <w:spacing w:after="0" w:line="119" w:lineRule="exact"/>
              <w:rPr>
                <w:sz w:val="20"/>
                <w:szCs w:val="20"/>
                <w:color w:val="auto"/>
              </w:rPr>
            </w:pPr>
            <w:r>
              <w:rPr>
                <w:rFonts w:ascii="Times New Roman" w:cs="Times New Roman" w:eastAsia="Times New Roman" w:hAnsi="Times New Roman"/>
                <w:sz w:val="13"/>
                <w:szCs w:val="13"/>
                <w:color w:val="auto"/>
              </w:rPr>
              <w:t>Three Months Ended</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228"/>
              <w:spacing w:after="0"/>
              <w:rPr>
                <w:sz w:val="20"/>
                <w:szCs w:val="20"/>
                <w:color w:val="auto"/>
              </w:rPr>
            </w:pPr>
            <w:r>
              <w:rPr>
                <w:rFonts w:ascii="Times New Roman" w:cs="Times New Roman" w:eastAsia="Times New Roman" w:hAnsi="Times New Roman"/>
                <w:sz w:val="14"/>
                <w:szCs w:val="14"/>
                <w:color w:val="auto"/>
              </w:rPr>
              <w:t>March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760" w:type="dxa"/>
            <w:vAlign w:val="bottom"/>
            <w:shd w:val="clear" w:color="auto" w:fill="CFF0FC"/>
          </w:tcPr>
          <w:p>
            <w:pPr>
              <w:jc w:val="right"/>
              <w:ind w:right="60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7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760" w:type="dxa"/>
            <w:vAlign w:val="bottom"/>
          </w:tcPr>
          <w:p>
            <w:pPr>
              <w:jc w:val="right"/>
              <w:ind w:right="60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84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-1293495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-1293495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Employer Contributions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Plans</w:t>
      </w:r>
    </w:p>
    <w:p>
      <w:pPr>
        <w:spacing w:after="0" w:line="121"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In 2026, the Company expects to contribute $910,000 to the U.S. qualified defined benefit plans and $145,000 to the U.S. unfunded non-qualified pension plans. Of such amount, $29,000 had been paid to the non-qualified plans as of March 31, 2026.</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U.K. Plan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U.K. subsidiary does not expect to contribute to its defined benefit pension plan in 2026.</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Defined Contribution Plans</w:t>
      </w:r>
    </w:p>
    <w:p>
      <w:pPr>
        <w:spacing w:after="0" w:line="121"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The Company sponsors retirement defined contribution plans that cover eligible U.S. and U.K. employees. The Company’s U.S. retirement plans include two qualified plans, one of which is a 401(k) plan and one of which is an employee stock ownership plan (profit sharing plan), and one non-qualified supplemental executive plan. In the three months ended March 31, 2026 and 2025, the Company made contributions into the qualified retirement plans for U.S. employees and for certain non-U.S. employees. Profit sharing contributions were determined using a formula applied to Company earnings. Approximately 85 percent of union and non-union employees are eligible for either the Company's sponsored or statutory profit sharing contributions and 100 percent of U.S. based union and non-union employees are eligible for the Company's sponsored profit sharing contributions. In 2025 and 2026, profit sharing contributions for U.S. employees were made to the employee stock ownership plan. Profit sharing contributions are allocated to participant accounts based on participant base earnings.</w:t>
      </w:r>
    </w:p>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Defined contribution plan expenses for the Company’s qualified contribution plans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6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color w:val="auto"/>
              </w:rPr>
              <w:t>Three Months Ended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1"/>
        </w:trPr>
        <w:tc>
          <w:tcPr>
            <w:tcW w:w="4800" w:type="dxa"/>
            <w:vAlign w:val="bottom"/>
            <w:gridSpan w:val="2"/>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5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548"/>
              <w:spacing w:after="0"/>
              <w:rPr>
                <w:sz w:val="20"/>
                <w:szCs w:val="20"/>
                <w:color w:val="auto"/>
              </w:rPr>
            </w:pPr>
            <w:r>
              <w:rPr>
                <w:rFonts w:ascii="Times New Roman" w:cs="Times New Roman" w:eastAsia="Times New Roman" w:hAnsi="Times New Roman"/>
                <w:sz w:val="14"/>
                <w:szCs w:val="14"/>
                <w:color w:val="auto"/>
              </w:rPr>
              <w:t>March 31,</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2"/>
        </w:trPr>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9"/>
        </w:trPr>
        <w:tc>
          <w:tcPr>
            <w:tcW w:w="114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Retirement savings contributions</w:t>
            </w:r>
          </w:p>
        </w:tc>
        <w:tc>
          <w:tcPr>
            <w:tcW w:w="33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Profit sharing contributions</w:t>
            </w:r>
          </w:p>
        </w:tc>
        <w:tc>
          <w:tcPr>
            <w:tcW w:w="25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defined contribution plan expenses</w:t>
            </w:r>
          </w:p>
        </w:tc>
        <w:tc>
          <w:tcPr>
            <w:tcW w:w="33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9"/>
        </w:trPr>
        <w:tc>
          <w:tcPr>
            <w:tcW w:w="1140" w:type="dxa"/>
            <w:vAlign w:val="bottom"/>
          </w:tcPr>
          <w:p>
            <w:pPr>
              <w:spacing w:after="0"/>
              <w:rPr>
                <w:sz w:val="24"/>
                <w:szCs w:val="24"/>
                <w:color w:val="auto"/>
              </w:rPr>
            </w:pPr>
          </w:p>
        </w:tc>
        <w:tc>
          <w:tcPr>
            <w:tcW w:w="3660" w:type="dxa"/>
            <w:vAlign w:val="bottom"/>
            <w:tcBorders>
              <w:top w:val="single" w:sz="8" w:color="CFF0FC"/>
            </w:tcBorders>
          </w:tcPr>
          <w:p>
            <w:pPr>
              <w:spacing w:after="0"/>
              <w:rPr>
                <w:sz w:val="24"/>
                <w:szCs w:val="24"/>
                <w:color w:val="auto"/>
              </w:rPr>
            </w:pPr>
          </w:p>
        </w:tc>
        <w:tc>
          <w:tcPr>
            <w:tcW w:w="2520" w:type="dxa"/>
            <w:vAlign w:val="bottom"/>
            <w:tcBorders>
              <w:top w:val="single" w:sz="8" w:color="CFF0FC"/>
            </w:tcBorders>
          </w:tcPr>
          <w:p>
            <w:pPr>
              <w:jc w:val="right"/>
              <w:ind w:right="1510"/>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-933450</wp:posOffset>
            </wp:positionV>
            <wp:extent cx="51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-916305</wp:posOffset>
            </wp:positionV>
            <wp:extent cx="51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p>
      <w:pPr>
        <w:jc w:val="both"/>
        <w:ind w:left="5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a rabbi trust to fund the obligations of its non-qualified supplemental executive defined contribution plans (supplemental plans). The trust is comprised of various mutual fund investments selected by the participants of the supplemental plans. In accordance with the accounting guidance for rabbi trust arrangements, the assets of the trust and the obligations of the supplemental plans are reported on the Company’s condensed consolidated balance sheets. The Company elected the fair value option for the mutual fund investment assets so that offsetting changes in the mutual fund values and defined contribution plan obligations would be recorded in earnings in the same period. Therefore, the mutual funds are reported at fair value with any subsequent changes in fair value recorded in the statements of income. The supplemental plan liabilities increase (i.e., supplemental plan expense is recognized) when the value of the trust assets appreciate and decrease when the value of the trust assets decline (i.e., supplemental plan income is recognized). At March 31, 2026, the balance of the trust assets was $338,000 which equaled the balance of the supplemental plan liabilities. See the long-term investments section in Note 3,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of the notes to the Company’s condensed consolidated financial statements (included in Item 1 of this Form 10-Q) for further information regarding the Company’s mutual fund assets.</w:t>
      </w:r>
    </w:p>
    <w:p>
      <w:pPr>
        <w:spacing w:after="0" w:line="194"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11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are the computations of basic and diluted earnings per share for the three months ended March 31, 2026 and 2025:</w:t>
      </w:r>
    </w:p>
    <w:p>
      <w:pPr>
        <w:spacing w:after="0" w:line="10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6"/>
          </w:tcPr>
          <w:p>
            <w:pPr>
              <w:ind w:left="48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71"/>
        </w:trPr>
        <w:tc>
          <w:tcPr>
            <w:tcW w:w="512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March 31,</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8"/>
              </w:rPr>
              <w:t>Computation of Basic Earnings per Share</w:t>
            </w:r>
          </w:p>
        </w:tc>
        <w:tc>
          <w:tcPr>
            <w:tcW w:w="2120" w:type="dxa"/>
            <w:vAlign w:val="bottom"/>
            <w:tcBorders>
              <w:bottom w:val="single" w:sz="8" w:color="CFF0FC"/>
            </w:tcBorders>
            <w:gridSpan w:val="2"/>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(41,406)</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00" w:type="dxa"/>
            <w:vAlign w:val="bottom"/>
            <w:gridSpan w:val="3"/>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tcBorders>
              <w:bottom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outstanding</w:t>
            </w:r>
          </w:p>
        </w:tc>
        <w:tc>
          <w:tcPr>
            <w:tcW w:w="1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312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w w:val="98"/>
              </w:rPr>
              <w:t>Computation of Diluted Earnings per Share</w:t>
            </w:r>
          </w:p>
        </w:tc>
        <w:tc>
          <w:tcPr>
            <w:tcW w:w="198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(41,406)</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11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0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Add weighted-average net shares from assumed</w:t>
            </w: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100" w:type="dxa"/>
            <w:vAlign w:val="bottom"/>
            <w:gridSpan w:val="3"/>
          </w:tcPr>
          <w:p>
            <w:pPr>
              <w:ind w:left="120"/>
              <w:spacing w:after="0" w:line="255" w:lineRule="exact"/>
              <w:rPr>
                <w:sz w:val="20"/>
                <w:szCs w:val="20"/>
                <w:color w:val="auto"/>
              </w:rPr>
            </w:pPr>
            <w:r>
              <w:rPr>
                <w:rFonts w:ascii="Times New Roman" w:cs="Times New Roman" w:eastAsia="Times New Roman" w:hAnsi="Times New Roman"/>
                <w:sz w:val="18"/>
                <w:szCs w:val="18"/>
                <w:color w:val="auto"/>
              </w:rPr>
              <w:t>exercise of options (under treasury stock method)</w:t>
            </w:r>
            <w:r>
              <w:rPr>
                <w:rFonts w:ascii="Times New Roman" w:cs="Times New Roman" w:eastAsia="Times New Roman" w:hAnsi="Times New Roman"/>
                <w:sz w:val="24"/>
                <w:szCs w:val="24"/>
                <w:color w:val="auto"/>
                <w:vertAlign w:val="superscript"/>
              </w:rPr>
              <w:t>(1)(2)</w:t>
            </w: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00" w:type="dxa"/>
            <w:vAlign w:val="bottom"/>
            <w:gridSpan w:val="3"/>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Add weighted-average net shares related to unvested</w:t>
            </w: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100" w:type="dxa"/>
            <w:vAlign w:val="bottom"/>
            <w:gridSpan w:val="3"/>
            <w:shd w:val="clear" w:color="auto" w:fill="CFF0FC"/>
          </w:tcPr>
          <w:p>
            <w:pPr>
              <w:ind w:left="120"/>
              <w:spacing w:after="0" w:line="255" w:lineRule="exact"/>
              <w:rPr>
                <w:sz w:val="20"/>
                <w:szCs w:val="20"/>
                <w:color w:val="auto"/>
              </w:rPr>
            </w:pPr>
            <w:r>
              <w:rPr>
                <w:rFonts w:ascii="Times New Roman" w:cs="Times New Roman" w:eastAsia="Times New Roman" w:hAnsi="Times New Roman"/>
                <w:sz w:val="18"/>
                <w:szCs w:val="18"/>
                <w:color w:val="auto"/>
              </w:rPr>
              <w:t xml:space="preserve">stock awards (under treasury stock method) </w:t>
            </w:r>
            <w:r>
              <w:rPr>
                <w:rFonts w:ascii="Times New Roman" w:cs="Times New Roman" w:eastAsia="Times New Roman" w:hAnsi="Times New Roman"/>
                <w:sz w:val="24"/>
                <w:szCs w:val="24"/>
                <w:color w:val="auto"/>
                <w:vertAlign w:val="superscript"/>
              </w:rPr>
              <w:t>(2)</w:t>
            </w: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0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Add weighted-average net shares from assumed</w:t>
            </w: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100" w:type="dxa"/>
            <w:vAlign w:val="bottom"/>
            <w:gridSpan w:val="3"/>
          </w:tcPr>
          <w:p>
            <w:pPr>
              <w:ind w:left="120"/>
              <w:spacing w:after="0" w:line="255" w:lineRule="exact"/>
              <w:rPr>
                <w:sz w:val="20"/>
                <w:szCs w:val="20"/>
                <w:color w:val="auto"/>
              </w:rPr>
            </w:pPr>
            <w:r>
              <w:rPr>
                <w:rFonts w:ascii="Times New Roman" w:cs="Times New Roman" w:eastAsia="Times New Roman" w:hAnsi="Times New Roman"/>
                <w:sz w:val="18"/>
                <w:szCs w:val="18"/>
                <w:color w:val="auto"/>
              </w:rPr>
              <w:t>exercise of SARs (under treasury stock method)</w:t>
            </w:r>
            <w:r>
              <w:rPr>
                <w:rFonts w:ascii="Times New Roman" w:cs="Times New Roman" w:eastAsia="Times New Roman" w:hAnsi="Times New Roman"/>
                <w:sz w:val="24"/>
                <w:szCs w:val="24"/>
                <w:color w:val="auto"/>
                <w:vertAlign w:val="superscript"/>
              </w:rPr>
              <w:t>(1)(2)</w:t>
            </w: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00" w:type="dxa"/>
            <w:vAlign w:val="bottom"/>
            <w:gridSpan w:val="3"/>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weighted-average contingently issuable net</w:t>
            </w: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gridSpan w:val="3"/>
            <w:shd w:val="clear" w:color="auto" w:fill="CFF0FC"/>
          </w:tcPr>
          <w:p>
            <w:pPr>
              <w:ind w:left="80"/>
              <w:spacing w:after="0" w:line="196" w:lineRule="exact"/>
              <w:rPr>
                <w:sz w:val="20"/>
                <w:szCs w:val="20"/>
                <w:color w:val="auto"/>
              </w:rPr>
            </w:pPr>
            <w:r>
              <w:rPr>
                <w:rFonts w:ascii="Times New Roman" w:cs="Times New Roman" w:eastAsia="Times New Roman" w:hAnsi="Times New Roman"/>
                <w:sz w:val="18"/>
                <w:szCs w:val="18"/>
                <w:color w:val="auto"/>
              </w:rPr>
              <w:t>shares related to performance stock awards</w:t>
            </w: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00" w:type="dxa"/>
            <w:vAlign w:val="bottom"/>
            <w:gridSpan w:val="3"/>
            <w:shd w:val="clear" w:color="auto" w:fill="CFF0FC"/>
          </w:tcPr>
          <w:p>
            <w:pPr>
              <w:ind w:left="80"/>
              <w:spacing w:after="0" w:line="241" w:lineRule="exact"/>
              <w:rPr>
                <w:sz w:val="20"/>
                <w:szCs w:val="20"/>
                <w:color w:val="auto"/>
              </w:rPr>
            </w:pPr>
            <w:r>
              <w:rPr>
                <w:rFonts w:ascii="Times New Roman" w:cs="Times New Roman" w:eastAsia="Times New Roman" w:hAnsi="Times New Roman"/>
                <w:sz w:val="18"/>
                <w:szCs w:val="18"/>
                <w:color w:val="auto"/>
              </w:rPr>
              <w:t xml:space="preserve">(under treasury stock method) </w:t>
            </w:r>
            <w:r>
              <w:rPr>
                <w:rFonts w:ascii="Times New Roman" w:cs="Times New Roman" w:eastAsia="Times New Roman" w:hAnsi="Times New Roman"/>
                <w:sz w:val="24"/>
                <w:szCs w:val="24"/>
                <w:color w:val="auto"/>
                <w:vertAlign w:val="superscript"/>
              </w:rPr>
              <w:t>(2)</w:t>
            </w: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00" w:type="dxa"/>
            <w:vAlign w:val="bottom"/>
            <w:tcBorders>
              <w:top w:val="single" w:sz="8" w:color="CFF0FC"/>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Weighted-average shares applicable to diluted</w:t>
            </w:r>
          </w:p>
        </w:tc>
        <w:tc>
          <w:tcPr>
            <w:tcW w:w="1140" w:type="dxa"/>
            <w:vAlign w:val="bottom"/>
            <w:tcBorders>
              <w:top w:val="single" w:sz="8" w:color="CFF0FC"/>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22,888</w:t>
            </w: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22,890</w:t>
            </w:r>
          </w:p>
        </w:tc>
        <w:tc>
          <w:tcPr>
            <w:tcW w:w="8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-2399665</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-2399665</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-445135</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-445135</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9" w:lineRule="exact"/>
        <w:rPr>
          <w:sz w:val="20"/>
          <w:szCs w:val="20"/>
          <w:color w:val="auto"/>
        </w:rPr>
      </w:pPr>
    </w:p>
    <w:p>
      <w:pPr>
        <w:jc w:val="both"/>
        <w:ind w:left="1460" w:right="1120" w:hanging="329"/>
        <w:spacing w:after="0" w:line="266" w:lineRule="auto"/>
        <w:tabs>
          <w:tab w:leader="none" w:pos="1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Options/SARs to acquire 1,213,923 shares of the Company's common stock were excluded from the computation of dilutive earnings per share for the three months ended March 31, 2025. The options/SARs' exercise prices were greater than the average market price for the Company's common stock and inclusion of the instruments would have had an antidilutive effect on the computations of the earnings per share.</w:t>
      </w:r>
    </w:p>
    <w:p>
      <w:pPr>
        <w:spacing w:after="0" w:line="2" w:lineRule="exact"/>
        <w:rPr>
          <w:rFonts w:ascii="Times New Roman" w:cs="Times New Roman" w:eastAsia="Times New Roman" w:hAnsi="Times New Roman"/>
          <w:sz w:val="16"/>
          <w:szCs w:val="16"/>
          <w:color w:val="auto"/>
        </w:rPr>
      </w:pPr>
    </w:p>
    <w:p>
      <w:pPr>
        <w:ind w:left="1460" w:right="1120" w:hanging="329"/>
        <w:spacing w:after="0" w:line="288" w:lineRule="auto"/>
        <w:tabs>
          <w:tab w:leader="none" w:pos="1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2026, potential common shares were excluded from the computation of diluted earnings per share because of their anti-dilutive effect due to the net loss for the quarter.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left="512" w:hanging="512"/>
        <w:spacing w:after="0"/>
        <w:tabs>
          <w:tab w:leader="none" w:pos="5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ACCUMULATED OTHER COMPREHENSIVE INCOME (LOSS)</w:t>
      </w:r>
    </w:p>
    <w:p>
      <w:pPr>
        <w:spacing w:after="0" w:line="117" w:lineRule="exact"/>
        <w:rPr>
          <w:rFonts w:ascii="Times New Roman" w:cs="Times New Roman" w:eastAsia="Times New Roman" w:hAnsi="Times New Roman"/>
          <w:sz w:val="18"/>
          <w:szCs w:val="18"/>
          <w:color w:val="auto"/>
        </w:rPr>
      </w:pPr>
    </w:p>
    <w:p>
      <w:pPr>
        <w:ind w:left="512"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is the change in the Company’s accumulated other comprehensive income (loss) (AOCI) balance by component (net of income taxes) for the three months ended March 31, 2026 and 2025:</w:t>
      </w:r>
    </w:p>
    <w:p>
      <w:pPr>
        <w:spacing w:after="0" w:line="145" w:lineRule="exact"/>
        <w:rPr>
          <w:sz w:val="20"/>
          <w:szCs w:val="20"/>
          <w:color w:val="auto"/>
        </w:rPr>
      </w:pPr>
    </w:p>
    <w:tbl>
      <w:tblPr>
        <w:tblLayout w:type="fixed"/>
        <w:tblInd w:w="1132"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Foreign</w:t>
            </w:r>
          </w:p>
        </w:tc>
        <w:tc>
          <w:tcPr>
            <w:tcW w:w="10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Defined</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Cash Flow</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w w:val="99"/>
              </w:rPr>
              <w:t>Currency</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Benefit</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Pension Plan</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w w:val="98"/>
              </w:rPr>
              <w:t>Hedge</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rPr>
              <w:t>Adjustments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color w:val="auto"/>
              </w:rPr>
              <w:t>Adjustments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color w:val="auto"/>
              </w:rPr>
              <w:t>Adjustments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(175,802)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(25,996)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(196,838)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(1,112)</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vMerge w:val="continue"/>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(154,193)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(25,941)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8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(176,288)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(113,982)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(26,982)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(138,974)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(113,720)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(26,837)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-1319530</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-1319530</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5657850</wp:posOffset>
            </wp:positionH>
            <wp:positionV relativeFrom="paragraph">
              <wp:posOffset>-1319530</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-1319530</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-1028065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-1010920</wp:posOffset>
            </wp:positionV>
            <wp:extent cx="51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-1028065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-1010920</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5657850</wp:posOffset>
            </wp:positionH>
            <wp:positionV relativeFrom="paragraph">
              <wp:posOffset>-1028065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5657850</wp:posOffset>
            </wp:positionH>
            <wp:positionV relativeFrom="paragraph">
              <wp:posOffset>-1010920</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-1028065</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-1010920</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-316230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-316230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5657850</wp:posOffset>
            </wp:positionH>
            <wp:positionV relativeFrom="paragraph">
              <wp:posOffset>-316230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-316230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-25400</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-7620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-25400</wp:posOffset>
            </wp:positionV>
            <wp:extent cx="514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-7620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5657850</wp:posOffset>
            </wp:positionH>
            <wp:positionV relativeFrom="paragraph">
              <wp:posOffset>-25400</wp:posOffset>
            </wp:positionV>
            <wp:extent cx="51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5657850</wp:posOffset>
            </wp:positionH>
            <wp:positionV relativeFrom="paragraph">
              <wp:posOffset>-7620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-25400</wp:posOffset>
            </wp:positionV>
            <wp:extent cx="51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-7620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3"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18"/>
          <w:szCs w:val="18"/>
          <w:color w:val="auto"/>
        </w:rPr>
        <w:t>Information regarding the reclassifications out of AOCI for the three months ended March 31, 2026 and 2025, is displayed below:</w:t>
      </w:r>
    </w:p>
    <w:p>
      <w:pPr>
        <w:spacing w:after="0" w:line="173" w:lineRule="exact"/>
        <w:rPr>
          <w:sz w:val="20"/>
          <w:szCs w:val="20"/>
          <w:color w:val="auto"/>
        </w:rPr>
      </w:pPr>
    </w:p>
    <w:tbl>
      <w:tblPr>
        <w:tblLayout w:type="fixed"/>
        <w:tblInd w:w="1132" w:type="dxa"/>
        <w:tblCellMar>
          <w:top w:w="0" w:type="dxa"/>
          <w:left w:w="0" w:type="dxa"/>
          <w:bottom w:w="0" w:type="dxa"/>
          <w:right w:w="0" w:type="dxa"/>
        </w:tblCellMar>
      </w:tblPr>
      <w:tr>
        <w:trPr>
          <w:trHeight w:val="218"/>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w w:val="99"/>
              </w:rPr>
              <w:t xml:space="preserve">Amount Reclassified from AOCI </w:t>
            </w:r>
            <w:r>
              <w:rPr>
                <w:rFonts w:ascii="Times New Roman" w:cs="Times New Roman" w:eastAsia="Times New Roman" w:hAnsi="Times New Roman"/>
                <w:sz w:val="19"/>
                <w:szCs w:val="19"/>
                <w:color w:val="auto"/>
                <w:w w:val="99"/>
                <w:vertAlign w:val="superscript"/>
              </w:rPr>
              <w:t>(1)</w:t>
            </w: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Affected Line Item in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AOCI Components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Condensed Consolidated</w:t>
            </w:r>
          </w:p>
        </w:tc>
        <w:tc>
          <w:tcPr>
            <w:tcW w:w="0" w:type="dxa"/>
            <w:vAlign w:val="bottom"/>
          </w:tcPr>
          <w:p>
            <w:pPr>
              <w:spacing w:after="0"/>
              <w:rPr>
                <w:sz w:val="1"/>
                <w:szCs w:val="1"/>
                <w:color w:val="auto"/>
              </w:rPr>
            </w:pPr>
          </w:p>
        </w:tc>
      </w:tr>
      <w:tr>
        <w:trPr>
          <w:trHeight w:val="171"/>
        </w:trPr>
        <w:tc>
          <w:tcPr>
            <w:tcW w:w="4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March 31,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Statements of 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Amortization of defined benefit</w:t>
            </w:r>
          </w:p>
        </w:tc>
        <w:tc>
          <w:tcPr>
            <w:tcW w:w="16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pension actuarial losses</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(193)</w:t>
            </w:r>
          </w:p>
        </w:tc>
        <w:tc>
          <w:tcPr>
            <w:tcW w:w="102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18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Tax benefit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102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1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0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Gains and losses on cash flow</w:t>
            </w:r>
          </w:p>
        </w:tc>
        <w:tc>
          <w:tcPr>
            <w:tcW w:w="16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7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Tax benefit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 reclassifications for the period</w:t>
            </w:r>
          </w:p>
        </w:tc>
        <w:tc>
          <w:tcPr>
            <w:tcW w:w="3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1020" w:type="dxa"/>
            <w:vAlign w:val="bottom"/>
            <w:gridSpan w:val="2"/>
            <w:shd w:val="clear" w:color="auto" w:fill="CFF0FC"/>
          </w:tcPr>
          <w:p>
            <w:pPr>
              <w:jc w:val="right"/>
              <w:ind w:right="8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1800" w:type="dxa"/>
            <w:vAlign w:val="bottom"/>
            <w:gridSpan w:val="2"/>
            <w:shd w:val="clear" w:color="auto" w:fill="CFF0FC"/>
          </w:tcPr>
          <w:p>
            <w:pPr>
              <w:ind w:left="80"/>
              <w:spacing w:after="0" w:line="196" w:lineRule="exact"/>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-1053465</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-1036320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-1053465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-1036320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-616585</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-616585</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-334010</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-334010</wp:posOffset>
            </wp:positionV>
            <wp:extent cx="51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-24765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-8255</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-24765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-8255</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1452" w:hanging="329"/>
        <w:spacing w:after="0"/>
        <w:tabs>
          <w:tab w:leader="none" w:pos="1452"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6"/>
          <w:szCs w:val="16"/>
          <w:color w:val="auto"/>
        </w:rPr>
        <w:t>mounts in parentheses denote expense to the Company’s Condensed Consolidated Statements of Income.</w:t>
      </w:r>
    </w:p>
    <w:p>
      <w:pPr>
        <w:spacing w:after="0" w:line="27" w:lineRule="exact"/>
        <w:rPr>
          <w:rFonts w:ascii="Times New Roman" w:cs="Times New Roman" w:eastAsia="Times New Roman" w:hAnsi="Times New Roman"/>
          <w:sz w:val="16"/>
          <w:szCs w:val="16"/>
          <w:color w:val="auto"/>
        </w:rPr>
      </w:pPr>
    </w:p>
    <w:p>
      <w:pPr>
        <w:jc w:val="both"/>
        <w:ind w:left="1452" w:right="1120" w:hanging="329"/>
        <w:spacing w:after="0" w:line="272" w:lineRule="auto"/>
        <w:tabs>
          <w:tab w:leader="none" w:pos="1452"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component of accumulated other comprehensive income is included in the computation of net periodic benefit cost. See Note 9, </w:t>
      </w:r>
      <w:r>
        <w:rPr>
          <w:rFonts w:ascii="Times New Roman" w:cs="Times New Roman" w:eastAsia="Times New Roman" w:hAnsi="Times New Roman"/>
          <w:sz w:val="16"/>
          <w:szCs w:val="16"/>
          <w:i w:val="1"/>
          <w:iCs w:val="1"/>
          <w:color w:val="auto"/>
        </w:rPr>
        <w:t>Postretirement Benefit Plans</w:t>
      </w:r>
      <w:r>
        <w:rPr>
          <w:rFonts w:ascii="Times New Roman" w:cs="Times New Roman" w:eastAsia="Times New Roman" w:hAnsi="Times New Roman"/>
          <w:sz w:val="16"/>
          <w:szCs w:val="16"/>
          <w:color w:val="auto"/>
        </w:rPr>
        <w:t>, of the notes to the Company’s condensed consolidated financial statements (included in Item 1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Form 10-Q) for additional details.</w:t>
      </w:r>
    </w:p>
    <w:p>
      <w:pPr>
        <w:spacing w:after="0" w:line="179" w:lineRule="exact"/>
        <w:rPr>
          <w:rFonts w:ascii="Times New Roman" w:cs="Times New Roman" w:eastAsia="Times New Roman" w:hAnsi="Times New Roman"/>
          <w:sz w:val="16"/>
          <w:szCs w:val="16"/>
          <w:color w:val="auto"/>
        </w:rPr>
      </w:pPr>
    </w:p>
    <w:p>
      <w:pPr>
        <w:ind w:left="512" w:hanging="512"/>
        <w:spacing w:after="0"/>
        <w:tabs>
          <w:tab w:leader="none" w:pos="5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 REPORTING</w:t>
      </w:r>
    </w:p>
    <w:p>
      <w:pPr>
        <w:spacing w:after="0" w:line="117" w:lineRule="exact"/>
        <w:rPr>
          <w:rFonts w:ascii="Times New Roman" w:cs="Times New Roman" w:eastAsia="Times New Roman" w:hAnsi="Times New Roman"/>
          <w:sz w:val="18"/>
          <w:szCs w:val="18"/>
          <w:color w:val="auto"/>
        </w:rPr>
      </w:pPr>
    </w:p>
    <w:p>
      <w:pPr>
        <w:jc w:val="both"/>
        <w:ind w:left="51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three reportable segments: Surfactants, Polymers and Specialty Products. The Company’s Chief Operating Decision Maker (CODM) is the President and Chief Executive Officer. The accounting policies of the reportable segments are the same as those described in the Company’s Annual Report on Form 10-K for the year ended December 31, 2025. The</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01" w:right="339" w:bottom="1440" w:gutter="0" w:footer="0" w:header="0"/>
        </w:sectPr>
      </w:pPr>
    </w:p>
    <w:bookmarkStart w:id="14" w:name="page15"/>
    <w:bookmarkEnd w:id="14"/>
    <w:p>
      <w:pPr>
        <w:ind w:left="520"/>
        <w:spacing w:after="0" w:line="282" w:lineRule="auto"/>
        <w:rPr>
          <w:sz w:val="20"/>
          <w:szCs w:val="20"/>
          <w:color w:val="auto"/>
        </w:rPr>
      </w:pPr>
      <w:r>
        <w:rPr>
          <w:rFonts w:ascii="Times New Roman" w:cs="Times New Roman" w:eastAsia="Times New Roman" w:hAnsi="Times New Roman"/>
          <w:sz w:val="18"/>
          <w:szCs w:val="18"/>
          <w:color w:val="auto"/>
        </w:rPr>
        <w:t>following is segment data for the three months ended March 31, 2026 and 2025, and reconciliations of segment data to the condensed consolidated financial statements: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color w:val="auto"/>
              </w:rPr>
              <w:t>For the Three Months Ended March 31, 2026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4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Times New Roman" w:cs="Times New Roman" w:eastAsia="Times New Roman" w:hAnsi="Times New Roman"/>
                <w:sz w:val="13"/>
                <w:szCs w:val="13"/>
                <w:color w:val="auto"/>
              </w:rPr>
              <w:t>Specialty</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80" w:type="dxa"/>
            <w:vAlign w:val="bottom"/>
            <w:gridSpan w:val="2"/>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92"/>
              <w:spacing w:after="0"/>
              <w:rPr>
                <w:sz w:val="20"/>
                <w:szCs w:val="20"/>
                <w:color w:val="auto"/>
              </w:rPr>
            </w:pPr>
            <w:r>
              <w:rPr>
                <w:rFonts w:ascii="Times New Roman" w:cs="Times New Roman" w:eastAsia="Times New Roman" w:hAnsi="Times New Roman"/>
                <w:sz w:val="14"/>
                <w:szCs w:val="14"/>
                <w:color w:val="auto"/>
              </w:rPr>
              <w:t>Surfactants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Polymers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Products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9"/>
        </w:trPr>
        <w:tc>
          <w:tcPr>
            <w:tcW w:w="47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453,687</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130,029</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604,509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410,017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114,045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539,235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4"/>
                <w:szCs w:val="24"/>
                <w:color w:val="auto"/>
                <w:vertAlign w:val="superscript"/>
              </w:rPr>
              <w:t>(2)</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Unallocated Corporate Expenses </w:t>
            </w:r>
            <w:r>
              <w:rPr>
                <w:rFonts w:ascii="Times New Roman" w:cs="Times New Roman" w:eastAsia="Times New Roman" w:hAnsi="Times New Roman"/>
                <w:sz w:val="24"/>
                <w:szCs w:val="24"/>
                <w:color w:val="auto"/>
                <w:vertAlign w:val="superscript"/>
              </w:rPr>
              <w:t>(3)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(81,707)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(49,622)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364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90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9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Capital Expenditures</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Unallocated Capital Expenditures </w:t>
            </w:r>
            <w:r>
              <w:rPr>
                <w:rFonts w:ascii="Times New Roman" w:cs="Times New Roman" w:eastAsia="Times New Roman" w:hAnsi="Times New Roman"/>
                <w:sz w:val="24"/>
                <w:szCs w:val="24"/>
                <w:color w:val="auto"/>
                <w:vertAlign w:val="superscript"/>
              </w:rPr>
              <w:t>(4)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Capital Expenditures</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30,888</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364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90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9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Depreciation and Amortization</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Unallocated Depreciation and Amortization </w:t>
            </w:r>
            <w:r>
              <w:rPr>
                <w:rFonts w:ascii="Times New Roman" w:cs="Times New Roman" w:eastAsia="Times New Roman" w:hAnsi="Times New Roman"/>
                <w:sz w:val="24"/>
                <w:szCs w:val="24"/>
                <w:color w:val="auto"/>
                <w:vertAlign w:val="superscript"/>
              </w:rPr>
              <w:t>(5)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Depreciation and Amortization</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1140" w:type="dxa"/>
            <w:vAlign w:val="bottom"/>
          </w:tcPr>
          <w:p>
            <w:pPr>
              <w:spacing w:after="0"/>
              <w:rPr>
                <w:sz w:val="24"/>
                <w:szCs w:val="24"/>
                <w:color w:val="auto"/>
              </w:rPr>
            </w:pPr>
          </w:p>
        </w:tc>
        <w:tc>
          <w:tcPr>
            <w:tcW w:w="364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40" w:type="dxa"/>
            <w:vAlign w:val="bottom"/>
            <w:tcBorders>
              <w:top w:val="single" w:sz="8" w:color="CFF0FC"/>
              <w:bottom w:val="single" w:sz="8" w:color="auto"/>
            </w:tcBorders>
          </w:tcPr>
          <w:p>
            <w:pPr>
              <w:spacing w:after="0"/>
              <w:rPr>
                <w:sz w:val="24"/>
                <w:szCs w:val="24"/>
                <w:color w:val="auto"/>
              </w:rPr>
            </w:pPr>
          </w:p>
        </w:tc>
        <w:tc>
          <w:tcPr>
            <w:tcW w:w="940" w:type="dxa"/>
            <w:vAlign w:val="bottom"/>
            <w:tcBorders>
              <w:top w:val="single" w:sz="8" w:color="CFF0FC"/>
              <w:bottom w:val="single" w:sz="8" w:color="auto"/>
            </w:tcBorders>
          </w:tcPr>
          <w:p>
            <w:pPr>
              <w:spacing w:after="0"/>
              <w:rPr>
                <w:sz w:val="24"/>
                <w:szCs w:val="24"/>
                <w:color w:val="auto"/>
              </w:rPr>
            </w:pPr>
          </w:p>
        </w:tc>
        <w:tc>
          <w:tcPr>
            <w:tcW w:w="2740" w:type="dxa"/>
            <w:vAlign w:val="bottom"/>
            <w:tcBorders>
              <w:top w:val="single" w:sz="8" w:color="CFF0FC"/>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color w:val="auto"/>
              </w:rPr>
              <w:t>For the Three Months Ended March 31, 2025</w:t>
            </w:r>
          </w:p>
        </w:tc>
        <w:tc>
          <w:tcPr>
            <w:tcW w:w="80" w:type="dxa"/>
            <w:vAlign w:val="bottom"/>
            <w:tcBorders>
              <w:top w:val="single" w:sz="8" w:color="CFF0FC"/>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14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Times New Roman" w:cs="Times New Roman" w:eastAsia="Times New Roman" w:hAnsi="Times New Roman"/>
                <w:sz w:val="13"/>
                <w:szCs w:val="13"/>
                <w:color w:val="auto"/>
              </w:rPr>
              <w:t>Specialty</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80" w:type="dxa"/>
            <w:vAlign w:val="bottom"/>
            <w:gridSpan w:val="2"/>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92"/>
              <w:spacing w:after="0"/>
              <w:rPr>
                <w:sz w:val="20"/>
                <w:szCs w:val="20"/>
                <w:color w:val="auto"/>
              </w:rPr>
            </w:pPr>
            <w:r>
              <w:rPr>
                <w:rFonts w:ascii="Times New Roman" w:cs="Times New Roman" w:eastAsia="Times New Roman" w:hAnsi="Times New Roman"/>
                <w:sz w:val="14"/>
                <w:szCs w:val="14"/>
                <w:color w:val="auto"/>
              </w:rPr>
              <w:t>Surfactants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Polymers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Products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9"/>
        </w:trPr>
        <w:tc>
          <w:tcPr>
            <w:tcW w:w="47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430,337</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146,116</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593,255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376,666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130,896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517,959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4"/>
                <w:szCs w:val="24"/>
                <w:color w:val="auto"/>
                <w:vertAlign w:val="superscript"/>
              </w:rPr>
              <w:t>(2)</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42,456</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Unallocated Corporate Expenses </w:t>
            </w:r>
            <w:r>
              <w:rPr>
                <w:rFonts w:ascii="Times New Roman" w:cs="Times New Roman" w:eastAsia="Times New Roman" w:hAnsi="Times New Roman"/>
                <w:sz w:val="24"/>
                <w:szCs w:val="24"/>
                <w:color w:val="auto"/>
                <w:vertAlign w:val="superscript"/>
              </w:rPr>
              <w:t>(3)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(14,168)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28,288</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3640" w:type="dxa"/>
            <w:vAlign w:val="bottom"/>
            <w:tcBorders>
              <w:top w:val="single" w:sz="8" w:color="CFF0FC"/>
            </w:tcBorders>
          </w:tcPr>
          <w:p>
            <w:pPr>
              <w:spacing w:after="0"/>
              <w:rPr>
                <w:sz w:val="17"/>
                <w:szCs w:val="17"/>
                <w:color w:val="auto"/>
              </w:rPr>
            </w:pPr>
          </w:p>
        </w:tc>
        <w:tc>
          <w:tcPr>
            <w:tcW w:w="440" w:type="dxa"/>
            <w:vAlign w:val="bottom"/>
            <w:tcBorders>
              <w:top w:val="single" w:sz="8" w:color="CFF0FC"/>
            </w:tcBorders>
            <w:gridSpan w:val="2"/>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gridSpan w:val="2"/>
          </w:tcPr>
          <w:p>
            <w:pPr>
              <w:spacing w:after="0"/>
              <w:rPr>
                <w:sz w:val="17"/>
                <w:szCs w:val="17"/>
                <w:color w:val="auto"/>
              </w:rPr>
            </w:pPr>
          </w:p>
        </w:tc>
        <w:tc>
          <w:tcPr>
            <w:tcW w:w="900" w:type="dxa"/>
            <w:vAlign w:val="bottom"/>
            <w:tcBorders>
              <w:top w:val="single" w:sz="8" w:color="CFF0FC"/>
            </w:tcBorders>
          </w:tcPr>
          <w:p>
            <w:pPr>
              <w:spacing w:after="0"/>
              <w:rPr>
                <w:sz w:val="17"/>
                <w:szCs w:val="17"/>
                <w:color w:val="auto"/>
              </w:rPr>
            </w:pPr>
          </w:p>
        </w:tc>
        <w:tc>
          <w:tcPr>
            <w:tcW w:w="400" w:type="dxa"/>
            <w:vAlign w:val="bottom"/>
            <w:tcBorders>
              <w:top w:val="single" w:sz="8" w:color="CFF0FC"/>
            </w:tcBorders>
            <w:gridSpan w:val="2"/>
          </w:tcPr>
          <w:p>
            <w:pPr>
              <w:spacing w:after="0"/>
              <w:rPr>
                <w:sz w:val="17"/>
                <w:szCs w:val="17"/>
                <w:color w:val="auto"/>
              </w:rPr>
            </w:pPr>
          </w:p>
        </w:tc>
        <w:tc>
          <w:tcPr>
            <w:tcW w:w="9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Capital Expenditures</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Unallocated Capital Expenditures </w:t>
            </w:r>
            <w:r>
              <w:rPr>
                <w:rFonts w:ascii="Times New Roman" w:cs="Times New Roman" w:eastAsia="Times New Roman" w:hAnsi="Times New Roman"/>
                <w:sz w:val="24"/>
                <w:szCs w:val="24"/>
                <w:color w:val="auto"/>
                <w:vertAlign w:val="superscript"/>
              </w:rPr>
              <w:t>(4)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Capital Expenditures</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32,748</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3640" w:type="dxa"/>
            <w:vAlign w:val="bottom"/>
            <w:tcBorders>
              <w:top w:val="single" w:sz="8" w:color="CFF0FC"/>
            </w:tcBorders>
          </w:tcPr>
          <w:p>
            <w:pPr>
              <w:spacing w:after="0"/>
              <w:rPr>
                <w:sz w:val="17"/>
                <w:szCs w:val="17"/>
                <w:color w:val="auto"/>
              </w:rPr>
            </w:pPr>
          </w:p>
        </w:tc>
        <w:tc>
          <w:tcPr>
            <w:tcW w:w="440" w:type="dxa"/>
            <w:vAlign w:val="bottom"/>
            <w:tcBorders>
              <w:top w:val="single" w:sz="8" w:color="CFF0FC"/>
            </w:tcBorders>
            <w:gridSpan w:val="2"/>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gridSpan w:val="2"/>
          </w:tcPr>
          <w:p>
            <w:pPr>
              <w:spacing w:after="0"/>
              <w:rPr>
                <w:sz w:val="17"/>
                <w:szCs w:val="17"/>
                <w:color w:val="auto"/>
              </w:rPr>
            </w:pPr>
          </w:p>
        </w:tc>
        <w:tc>
          <w:tcPr>
            <w:tcW w:w="900" w:type="dxa"/>
            <w:vAlign w:val="bottom"/>
            <w:tcBorders>
              <w:top w:val="single" w:sz="8" w:color="CFF0FC"/>
            </w:tcBorders>
          </w:tcPr>
          <w:p>
            <w:pPr>
              <w:spacing w:after="0"/>
              <w:rPr>
                <w:sz w:val="17"/>
                <w:szCs w:val="17"/>
                <w:color w:val="auto"/>
              </w:rPr>
            </w:pPr>
          </w:p>
        </w:tc>
        <w:tc>
          <w:tcPr>
            <w:tcW w:w="400" w:type="dxa"/>
            <w:vAlign w:val="bottom"/>
            <w:tcBorders>
              <w:top w:val="single" w:sz="8" w:color="CFF0FC"/>
            </w:tcBorders>
            <w:gridSpan w:val="2"/>
          </w:tcPr>
          <w:p>
            <w:pPr>
              <w:spacing w:after="0"/>
              <w:rPr>
                <w:sz w:val="17"/>
                <w:szCs w:val="17"/>
                <w:color w:val="auto"/>
              </w:rPr>
            </w:pPr>
          </w:p>
        </w:tc>
        <w:tc>
          <w:tcPr>
            <w:tcW w:w="9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Depreciation and Amortization</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Unallocated Depreciation and Amortization </w:t>
            </w:r>
            <w:r>
              <w:rPr>
                <w:rFonts w:ascii="Times New Roman" w:cs="Times New Roman" w:eastAsia="Times New Roman" w:hAnsi="Times New Roman"/>
                <w:sz w:val="24"/>
                <w:szCs w:val="24"/>
                <w:color w:val="auto"/>
                <w:vertAlign w:val="superscript"/>
              </w:rPr>
              <w:t>(5)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Depreciation and Amortization</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140" w:type="dxa"/>
            <w:vAlign w:val="bottom"/>
          </w:tcPr>
          <w:p>
            <w:pPr>
              <w:spacing w:after="0"/>
              <w:rPr>
                <w:sz w:val="24"/>
                <w:szCs w:val="24"/>
                <w:color w:val="auto"/>
              </w:rPr>
            </w:pPr>
          </w:p>
        </w:tc>
        <w:tc>
          <w:tcPr>
            <w:tcW w:w="364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jc w:val="center"/>
              <w:ind w:right="32"/>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-4568190</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-4551045</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-3985260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-3968115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-3402965</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-3385185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-2099945</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-2082165</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-1517015</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-1499870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-934085</wp:posOffset>
            </wp:positionV>
            <wp:extent cx="514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-916940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left="520" w:firstLine="509"/>
        <w:spacing w:after="0" w:line="282" w:lineRule="auto"/>
        <w:rPr>
          <w:sz w:val="20"/>
          <w:szCs w:val="20"/>
          <w:color w:val="auto"/>
        </w:rPr>
      </w:pPr>
      <w:r>
        <w:rPr>
          <w:rFonts w:ascii="Times New Roman" w:cs="Times New Roman" w:eastAsia="Times New Roman" w:hAnsi="Times New Roman"/>
          <w:sz w:val="18"/>
          <w:szCs w:val="18"/>
          <w:color w:val="auto"/>
        </w:rPr>
        <w:t>The following is segment assets at March 31, 2026 and December 31, 2025, and reconciliations of segment assets to the condensed consolidated financial statements.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color w:val="auto"/>
              </w:rPr>
              <w:t>As of March 31, 2026</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Specialty</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4"/>
                <w:szCs w:val="14"/>
                <w:color w:val="auto"/>
              </w:rPr>
            </w:pPr>
          </w:p>
        </w:tc>
        <w:tc>
          <w:tcPr>
            <w:tcW w:w="940" w:type="dxa"/>
            <w:vAlign w:val="bottom"/>
          </w:tcPr>
          <w:p>
            <w:pPr>
              <w:jc w:val="right"/>
              <w:ind w:right="156"/>
              <w:spacing w:after="0"/>
              <w:rPr>
                <w:sz w:val="20"/>
                <w:szCs w:val="20"/>
                <w:color w:val="auto"/>
              </w:rPr>
            </w:pPr>
            <w:r>
              <w:rPr>
                <w:rFonts w:ascii="Times New Roman" w:cs="Times New Roman" w:eastAsia="Times New Roman" w:hAnsi="Times New Roman"/>
                <w:sz w:val="14"/>
                <w:szCs w:val="14"/>
                <w:color w:val="auto"/>
              </w:rPr>
              <w:t>Surfactants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4"/>
                <w:szCs w:val="14"/>
                <w:color w:val="auto"/>
              </w:rPr>
              <w:t>Polymers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1,611,417</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527,755</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Unallocated Assets </w:t>
            </w:r>
            <w:r>
              <w:rPr>
                <w:rFonts w:ascii="Times New Roman" w:cs="Times New Roman" w:eastAsia="Times New Roman" w:hAnsi="Times New Roman"/>
                <w:sz w:val="24"/>
                <w:szCs w:val="24"/>
                <w:color w:val="auto"/>
                <w:vertAlign w:val="superscript"/>
              </w:rPr>
              <w:t>(6)</w:t>
            </w: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110,937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Assets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2,333,337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As of December 31, 2025</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Specialty</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4"/>
                <w:szCs w:val="14"/>
                <w:color w:val="auto"/>
              </w:rPr>
            </w:pPr>
          </w:p>
        </w:tc>
        <w:tc>
          <w:tcPr>
            <w:tcW w:w="940" w:type="dxa"/>
            <w:vAlign w:val="bottom"/>
          </w:tcPr>
          <w:p>
            <w:pPr>
              <w:jc w:val="right"/>
              <w:ind w:right="156"/>
              <w:spacing w:after="0"/>
              <w:rPr>
                <w:sz w:val="20"/>
                <w:szCs w:val="20"/>
                <w:color w:val="auto"/>
              </w:rPr>
            </w:pPr>
            <w:r>
              <w:rPr>
                <w:rFonts w:ascii="Times New Roman" w:cs="Times New Roman" w:eastAsia="Times New Roman" w:hAnsi="Times New Roman"/>
                <w:sz w:val="14"/>
                <w:szCs w:val="14"/>
                <w:color w:val="auto"/>
              </w:rPr>
              <w:t>Surfactants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4"/>
                <w:szCs w:val="14"/>
                <w:color w:val="auto"/>
              </w:rPr>
              <w:t>Polymers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1,630,551</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536,748</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Unallocated Assets </w:t>
            </w:r>
            <w:r>
              <w:rPr>
                <w:rFonts w:ascii="Times New Roman" w:cs="Times New Roman" w:eastAsia="Times New Roman" w:hAnsi="Times New Roman"/>
                <w:sz w:val="24"/>
                <w:szCs w:val="24"/>
                <w:color w:val="auto"/>
                <w:vertAlign w:val="superscript"/>
              </w:rPr>
              <w:t>(6)</w:t>
            </w: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108,103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Assets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-1054100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both"/>
        <w:ind w:left="1460" w:right="1120" w:hanging="329"/>
        <w:spacing w:after="0" w:line="281" w:lineRule="auto"/>
        <w:tabs>
          <w:tab w:leader="none" w:pos="14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of sales is comprised of raw material costs (including freight and shipping/handling expenses to deliver the raw materials), manufacturing plant labor expenses and other manufacturing overhead expenses, such as utilities, maintenance, depreciation, etc. that can be allocated to reportable segments.</w:t>
      </w:r>
    </w:p>
    <w:p>
      <w:pPr>
        <w:spacing w:after="0" w:line="69" w:lineRule="exact"/>
        <w:rPr>
          <w:rFonts w:ascii="Times New Roman" w:cs="Times New Roman" w:eastAsia="Times New Roman" w:hAnsi="Times New Roman"/>
          <w:sz w:val="16"/>
          <w:szCs w:val="16"/>
          <w:color w:val="auto"/>
        </w:rPr>
      </w:pPr>
    </w:p>
    <w:p>
      <w:pPr>
        <w:ind w:left="1460" w:right="1140" w:hanging="329"/>
        <w:spacing w:after="0" w:line="298" w:lineRule="auto"/>
        <w:tabs>
          <w:tab w:leader="none" w:pos="14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allocated to reportable segments are comprised of selling, administrative and research and development expenses. The CODM uses operating expenses in aggregate to analyze the performance of each reportable segment.</w:t>
      </w:r>
    </w:p>
    <w:p>
      <w:pPr>
        <w:spacing w:after="0" w:line="56" w:lineRule="exact"/>
        <w:rPr>
          <w:rFonts w:ascii="Times New Roman" w:cs="Times New Roman" w:eastAsia="Times New Roman" w:hAnsi="Times New Roman"/>
          <w:sz w:val="16"/>
          <w:szCs w:val="16"/>
          <w:color w:val="auto"/>
        </w:rPr>
      </w:pPr>
    </w:p>
    <w:p>
      <w:pPr>
        <w:jc w:val="both"/>
        <w:ind w:left="1460" w:right="1120" w:hanging="329"/>
        <w:spacing w:after="0" w:line="281" w:lineRule="auto"/>
        <w:tabs>
          <w:tab w:leader="none" w:pos="14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Unallocated corporate expenses are primarily comprised of corporate administrative expenses (e.g., corporate finance, legal, human resources, information technology and environmental remediation expenses), deferred compensation and business restructuring expenses that are not included in segment operating income and not used to evaluate segment performance.</w:t>
      </w:r>
    </w:p>
    <w:p>
      <w:pPr>
        <w:spacing w:after="0" w:line="69" w:lineRule="exact"/>
        <w:rPr>
          <w:rFonts w:ascii="Times New Roman" w:cs="Times New Roman" w:eastAsia="Times New Roman" w:hAnsi="Times New Roman"/>
          <w:sz w:val="16"/>
          <w:szCs w:val="16"/>
          <w:color w:val="auto"/>
        </w:rPr>
      </w:pPr>
    </w:p>
    <w:p>
      <w:pPr>
        <w:ind w:left="1460" w:hanging="329"/>
        <w:spacing w:after="0"/>
        <w:tabs>
          <w:tab w:leader="none" w:pos="14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Unallocated capital expenditures primarily include capital expenditures related to the Company’s Northfield, Illinois location.</w:t>
      </w:r>
    </w:p>
    <w:p>
      <w:pPr>
        <w:spacing w:after="0" w:line="126" w:lineRule="exact"/>
        <w:rPr>
          <w:rFonts w:ascii="Times New Roman" w:cs="Times New Roman" w:eastAsia="Times New Roman" w:hAnsi="Times New Roman"/>
          <w:sz w:val="16"/>
          <w:szCs w:val="16"/>
          <w:color w:val="auto"/>
        </w:rPr>
      </w:pPr>
    </w:p>
    <w:p>
      <w:pPr>
        <w:ind w:left="1460" w:hanging="329"/>
        <w:spacing w:after="0"/>
        <w:tabs>
          <w:tab w:leader="none" w:pos="14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Unallocated depreciation and amortization primarily includes depreciation related to the Company’s Northfield, Illinois location.</w:t>
      </w:r>
    </w:p>
    <w:p>
      <w:pPr>
        <w:spacing w:after="0" w:line="126" w:lineRule="exact"/>
        <w:rPr>
          <w:rFonts w:ascii="Times New Roman" w:cs="Times New Roman" w:eastAsia="Times New Roman" w:hAnsi="Times New Roman"/>
          <w:sz w:val="16"/>
          <w:szCs w:val="16"/>
          <w:color w:val="auto"/>
        </w:rPr>
      </w:pPr>
    </w:p>
    <w:p>
      <w:pPr>
        <w:ind w:left="1460" w:hanging="329"/>
        <w:spacing w:after="0"/>
        <w:tabs>
          <w:tab w:leader="none" w:pos="14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Unallocated assets primarily include assets in the Company’s Northfield, Illinois location.</w:t>
      </w:r>
    </w:p>
    <w:p>
      <w:pPr>
        <w:spacing w:after="0" w:line="33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 FROM CONTRACTS WITH CUSTOMERS</w:t>
      </w:r>
    </w:p>
    <w:p>
      <w:pPr>
        <w:spacing w:after="0" w:line="117" w:lineRule="exact"/>
        <w:rPr>
          <w:rFonts w:ascii="Times New Roman" w:cs="Times New Roman" w:eastAsia="Times New Roman" w:hAnsi="Times New Roman"/>
          <w:sz w:val="18"/>
          <w:szCs w:val="18"/>
          <w:color w:val="auto"/>
        </w:rPr>
      </w:pPr>
    </w:p>
    <w:p>
      <w:pPr>
        <w:jc w:val="both"/>
        <w:ind w:left="5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accounts receivable financing programs under which the Company has the ability to sell eligible receivables for select customers to select banking institutions. For the three months ended March 31, 2026 and 2025, the Company’s cash proceeds from the sale of receivables were $15,618,000 and $34,469,000, respectively. Financing charges incurred from the sale of accounts receivable qualifying as sales for the three months ended March 31, 2026 and 2025 were immaterial.</w:t>
      </w:r>
    </w:p>
    <w:p>
      <w:pPr>
        <w:spacing w:after="0" w:line="72" w:lineRule="exact"/>
        <w:rPr>
          <w:sz w:val="20"/>
          <w:szCs w:val="20"/>
          <w:color w:val="auto"/>
        </w:rPr>
      </w:pPr>
    </w:p>
    <w:p>
      <w:pPr>
        <w:jc w:val="both"/>
        <w:ind w:left="52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 had $307,000 and $218,000 of contract liabilities and no contract assets, respectively. A contract liability would typically arise when an advance or deposit is received from a customer before the Company recognizes revenue. In practice, this is rare as it would require a customer to make a payment prior to a performance obligation being satisfied. When such situations do arise, the Company maintains a deferred revenue liability until the time a performance obligation has been satisfied. The Company recognized $218,000 of revenue in the first three months of 2026 from pre-existing contract liabilities at December 31, 2025.</w:t>
      </w:r>
    </w:p>
    <w:p>
      <w:pPr>
        <w:spacing w:after="0" w:line="183" w:lineRule="exact"/>
        <w:rPr>
          <w:sz w:val="20"/>
          <w:szCs w:val="20"/>
          <w:color w:val="auto"/>
        </w:rPr>
      </w:pPr>
    </w:p>
    <w:p>
      <w:pPr>
        <w:jc w:val="both"/>
        <w:ind w:left="520" w:firstLine="509"/>
        <w:spacing w:after="0" w:line="261" w:lineRule="auto"/>
        <w:rPr>
          <w:sz w:val="20"/>
          <w:szCs w:val="20"/>
          <w:color w:val="auto"/>
        </w:rPr>
      </w:pPr>
      <w:r>
        <w:rPr>
          <w:rFonts w:ascii="Times New Roman" w:cs="Times New Roman" w:eastAsia="Times New Roman" w:hAnsi="Times New Roman"/>
          <w:sz w:val="18"/>
          <w:szCs w:val="18"/>
          <w:color w:val="auto"/>
        </w:rPr>
        <w:t>In addition, during 2020, the Company recorded $10,709,000 of long-term deferred revenue associated with a payment received to defray the cost of capital expenditures necessary to service a customer’s future product needs. At March 31, 2026, $1,662,000 was classified as long-term and $2,216,000 was classified as short-term. This deferred revenue is being recognized over the period of the contract and $6,831,000 of revenue has been recognized from the beginning of the contract term through March 31,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jc w:val="both"/>
        <w:ind w:left="520" w:firstLine="509"/>
        <w:spacing w:after="0" w:line="266" w:lineRule="auto"/>
        <w:rPr>
          <w:sz w:val="20"/>
          <w:szCs w:val="20"/>
          <w:color w:val="auto"/>
        </w:rPr>
      </w:pPr>
      <w:r>
        <w:rPr>
          <w:rFonts w:ascii="Times New Roman" w:cs="Times New Roman" w:eastAsia="Times New Roman" w:hAnsi="Times New Roman"/>
          <w:sz w:val="18"/>
          <w:szCs w:val="18"/>
          <w:color w:val="auto"/>
        </w:rPr>
        <w:t>The tables below provide a geographic disaggregation of net sales for the three months ended March 31, 2026 and 2025. The Company’s business segmentation by geographic region most effectively captures the nature and economic characteristics of the Company’s revenue streams impacted by economic factors.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13"/>
          </w:tcPr>
          <w:p>
            <w:pPr>
              <w:jc w:val="right"/>
              <w:ind w:right="116"/>
              <w:spacing w:after="0"/>
              <w:rPr>
                <w:sz w:val="20"/>
                <w:szCs w:val="20"/>
                <w:color w:val="auto"/>
              </w:rPr>
            </w:pPr>
            <w:r>
              <w:rPr>
                <w:rFonts w:ascii="Times New Roman" w:cs="Times New Roman" w:eastAsia="Times New Roman" w:hAnsi="Times New Roman"/>
                <w:sz w:val="14"/>
                <w:szCs w:val="14"/>
                <w:color w:val="auto"/>
              </w:rPr>
              <w:t>For the Three Months Ended March 31, 2026</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7"/>
                <w:szCs w:val="17"/>
                <w:color w:val="auto"/>
              </w:rPr>
              <w:t>Geographic Market</w:t>
            </w: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Surfactants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Polymers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53"/>
              <w:spacing w:after="0" w:line="155" w:lineRule="exact"/>
              <w:rPr>
                <w:sz w:val="20"/>
                <w:szCs w:val="20"/>
                <w:color w:val="auto"/>
              </w:rPr>
            </w:pPr>
            <w:r>
              <w:rPr>
                <w:rFonts w:ascii="Times New Roman" w:cs="Times New Roman" w:eastAsia="Times New Roman" w:hAnsi="Times New Roman"/>
                <w:sz w:val="14"/>
                <w:szCs w:val="14"/>
                <w:color w:val="auto"/>
              </w:rPr>
              <w:t>Specialty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North America</w:t>
            </w:r>
          </w:p>
        </w:tc>
        <w:tc>
          <w:tcPr>
            <w:tcW w:w="14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40" w:type="dxa"/>
            <w:vAlign w:val="bottom"/>
            <w:gridSpan w:val="2"/>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259,095</w:t>
            </w:r>
          </w:p>
        </w:tc>
        <w:tc>
          <w:tcPr>
            <w:tcW w:w="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71,802</w:t>
            </w:r>
          </w:p>
        </w:tc>
        <w:tc>
          <w:tcPr>
            <w:tcW w:w="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18,111</w:t>
            </w:r>
          </w:p>
        </w:tc>
        <w:tc>
          <w:tcPr>
            <w:tcW w:w="200" w:type="dxa"/>
            <w:vAlign w:val="bottom"/>
            <w:vMerge w:val="continue"/>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349,008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Europe</w:t>
            </w:r>
          </w:p>
        </w:tc>
        <w:tc>
          <w:tcPr>
            <w:tcW w:w="14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94,161</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47,534</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Latin America</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Asia</w:t>
            </w:r>
          </w:p>
        </w:tc>
        <w:tc>
          <w:tcPr>
            <w:tcW w:w="14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453,687</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130,029</w:t>
            </w:r>
          </w:p>
        </w:tc>
        <w:tc>
          <w:tcPr>
            <w:tcW w:w="2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20,793</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3"/>
          </w:tcPr>
          <w:p>
            <w:pPr>
              <w:jc w:val="right"/>
              <w:ind w:right="96"/>
              <w:spacing w:after="0"/>
              <w:rPr>
                <w:sz w:val="20"/>
                <w:szCs w:val="20"/>
                <w:color w:val="auto"/>
              </w:rPr>
            </w:pPr>
            <w:r>
              <w:rPr>
                <w:rFonts w:ascii="Times New Roman" w:cs="Times New Roman" w:eastAsia="Times New Roman" w:hAnsi="Times New Roman"/>
                <w:sz w:val="14"/>
                <w:szCs w:val="14"/>
                <w:color w:val="auto"/>
              </w:rPr>
              <w:t>For the Three Months Ended March 31, 2025</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7"/>
                <w:szCs w:val="17"/>
                <w:color w:val="auto"/>
              </w:rPr>
              <w:t>Geographic Market</w:t>
            </w: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Surfactants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Polymers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53"/>
              <w:spacing w:after="0" w:line="155" w:lineRule="exact"/>
              <w:rPr>
                <w:sz w:val="20"/>
                <w:szCs w:val="20"/>
                <w:color w:val="auto"/>
              </w:rPr>
            </w:pPr>
            <w:r>
              <w:rPr>
                <w:rFonts w:ascii="Times New Roman" w:cs="Times New Roman" w:eastAsia="Times New Roman" w:hAnsi="Times New Roman"/>
                <w:sz w:val="14"/>
                <w:szCs w:val="14"/>
                <w:color w:val="auto"/>
              </w:rPr>
              <w:t>Specialty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North America</w:t>
            </w:r>
          </w:p>
        </w:tc>
        <w:tc>
          <w:tcPr>
            <w:tcW w:w="148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251,735</w:t>
            </w:r>
          </w:p>
        </w:tc>
        <w:tc>
          <w:tcPr>
            <w:tcW w:w="180" w:type="dxa"/>
            <w:vAlign w:val="bottom"/>
            <w:gridSpan w:val="2"/>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72,793</w:t>
            </w:r>
          </w:p>
        </w:tc>
        <w:tc>
          <w:tcPr>
            <w:tcW w:w="200" w:type="dxa"/>
            <w:vAlign w:val="bottom"/>
            <w:gridSpan w:val="2"/>
            <w:vMerge w:val="continue"/>
          </w:tcPr>
          <w:p>
            <w:pPr>
              <w:spacing w:after="0"/>
              <w:rPr>
                <w:sz w:val="17"/>
                <w:szCs w:val="17"/>
                <w:color w:val="auto"/>
              </w:rPr>
            </w:pP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13,464</w:t>
            </w:r>
          </w:p>
        </w:tc>
        <w:tc>
          <w:tcPr>
            <w:tcW w:w="200" w:type="dxa"/>
            <w:vAlign w:val="bottom"/>
            <w:vMerge w:val="continue"/>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337,992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Europe</w:t>
            </w:r>
          </w:p>
        </w:tc>
        <w:tc>
          <w:tcPr>
            <w:tcW w:w="14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81,598</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61,142</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Latin America</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Asia</w:t>
            </w:r>
          </w:p>
        </w:tc>
        <w:tc>
          <w:tcPr>
            <w:tcW w:w="14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14,240</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11,885</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430,337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146,116</w:t>
            </w:r>
          </w:p>
        </w:tc>
        <w:tc>
          <w:tcPr>
            <w:tcW w:w="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16,802</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-1328420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-1328420</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-1328420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-1328420</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-170815</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-170815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w:t>
      </w:r>
    </w:p>
    <w:p>
      <w:pPr>
        <w:spacing w:after="0" w:line="11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2026 and December 31, 2025, debt was comprised of the following:</w:t>
      </w:r>
    </w:p>
    <w:p>
      <w:pPr>
        <w:spacing w:after="0" w:line="20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Maturity</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Dates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413"/>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unsecured notes</w:t>
            </w:r>
          </w:p>
        </w:tc>
        <w:tc>
          <w:tcPr>
            <w:tcW w:w="16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3.95% (net of unamortized debt issuance cost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$45 and $56 for 2026 and 2025, respectively)</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2026-2027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2.30% (net of unamortized debt issuance cost</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of $49 and $55 for 2026 and 2025, respectively)</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2026-2028</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2.37% (net of unamortized debt issuance cost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$54 and $60 for 2026 and 2025, respectively)</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2026-2028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2.73% (net of unamortized debt issuance cost</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of $48 and $52 for 2026 and 2025, respectively)</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2026-2031</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85,666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85,662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2.83% (net of unamortized debt issuance cost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$50 and $52 for 2026 and 2025, respectively)</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2026-2032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6.17% (net of unamortized debt issuance cost</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of $0 and $0 for 2026 and 2025, respectively)</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2029-2033</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 and term loan borrowing</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2026-2027</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338,400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651,725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626,710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323,310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328,415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51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ind w:left="520" w:firstLine="509"/>
        <w:spacing w:after="0" w:line="258" w:lineRule="auto"/>
        <w:rPr>
          <w:sz w:val="20"/>
          <w:szCs w:val="20"/>
          <w:color w:val="auto"/>
        </w:rPr>
      </w:pPr>
      <w:r>
        <w:rPr>
          <w:rFonts w:ascii="Times New Roman" w:cs="Times New Roman" w:eastAsia="Times New Roman" w:hAnsi="Times New Roman"/>
          <w:sz w:val="18"/>
          <w:szCs w:val="18"/>
          <w:color w:val="auto"/>
        </w:rPr>
        <w:t>The Company's long-term debt financing is comprised of certain senior unsecured notes issued to insurance companies in private placement transactions pursuant to note purchase agreements (the “Note Purchase Agreements”), totaling $313,325,000 as of March 31, 2026. These notes are denominated in U.S. dollars and have fixed interest rates ranging from 2.30 percent to 6.17 percent. The notes had original maturities of seven to 12 years with mandatory principal payments beginning four, five and six years after issuance. The Company will be required to make principal payments on the currently outstanding notes from 2026 to 2033.</w:t>
      </w:r>
    </w:p>
    <w:p>
      <w:pPr>
        <w:spacing w:after="0" w:line="183" w:lineRule="exact"/>
        <w:rPr>
          <w:sz w:val="20"/>
          <w:szCs w:val="20"/>
          <w:color w:val="auto"/>
        </w:rPr>
      </w:pPr>
    </w:p>
    <w:p>
      <w:pPr>
        <w:jc w:val="both"/>
        <w:ind w:left="520" w:firstLine="509"/>
        <w:spacing w:after="0" w:line="256" w:lineRule="auto"/>
        <w:rPr>
          <w:sz w:val="20"/>
          <w:szCs w:val="20"/>
          <w:color w:val="auto"/>
        </w:rPr>
      </w:pPr>
      <w:r>
        <w:rPr>
          <w:rFonts w:ascii="Times New Roman" w:cs="Times New Roman" w:eastAsia="Times New Roman" w:hAnsi="Times New Roman"/>
          <w:sz w:val="18"/>
          <w:szCs w:val="18"/>
          <w:color w:val="auto"/>
        </w:rPr>
        <w:t>The Company’s credit agreement (the Credit Agreement) with a syndicate of banks provides for credit facilities in an initial aggregate principal amount of $450,000,000, consisting of (a) a $350,000,000 multi-currency revolving credit facility and (b) a $100,000,000 delayed draw term loan credit facility, each of which matures on June 24, 2027. The Company's credit agreement with Credit Industriel et Commercial NY (the CIC Credit Agreement) provides for a credit facility in an aggregate principal amount of $8,700,000. The facility is for the sole purpose of the issuance of standby letters of credit. As of March 31, 2026, the Company had an outstanding letter of credit of $8,694,000 under the CIC Credit Agreement.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Company maintains import and export letters of credit, and standby letters of credit under its workers’ compensation insurance agreements and for other purposes, as needed from time to time, which are issued under the Credit Agreement and under the CIC Credit Agreement. As of March 31, 2026, the Company had outstanding letters of credit totaling $4,860,000 and $338,400,000 of outstanding borrowings under the Credit Agreement, inclusive of an $81,875,000 delayed-draw term loan ($18,125,000 of the term loan principal has been permanently repaid as scheduled). There was $88,615,000 available under the Credit Agreement as of March 31, 2026.</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Company's foreign subsidiaries had no debt outstanding at March 31, 2026.</w:t>
      </w:r>
    </w:p>
    <w:p>
      <w:pPr>
        <w:spacing w:after="0" w:line="225" w:lineRule="exact"/>
        <w:rPr>
          <w:sz w:val="20"/>
          <w:szCs w:val="20"/>
          <w:color w:val="auto"/>
        </w:rPr>
      </w:pPr>
    </w:p>
    <w:p>
      <w:pPr>
        <w:jc w:val="both"/>
        <w:ind w:left="520" w:firstLine="509"/>
        <w:spacing w:after="0" w:line="261" w:lineRule="auto"/>
        <w:rPr>
          <w:sz w:val="20"/>
          <w:szCs w:val="20"/>
          <w:color w:val="auto"/>
        </w:rPr>
      </w:pPr>
      <w:r>
        <w:rPr>
          <w:rFonts w:ascii="Times New Roman" w:cs="Times New Roman" w:eastAsia="Times New Roman" w:hAnsi="Times New Roman"/>
          <w:sz w:val="18"/>
          <w:szCs w:val="18"/>
          <w:color w:val="auto"/>
        </w:rPr>
        <w:t>The Company’s material debt agreements contain provisions which, among other covenants, require maintenance of certain financial ratios and place limitations on additional debt, investments and payment of dividends. Based on the loan agreement provisions that place limitations on dividend payments, unrestricted retained earnings (i.e., retained earnings available for dividend distribution) were $213,848,000 and $263,923,000 at March 31, 2026 and December 31, 2025, respectively.</w:t>
      </w:r>
    </w:p>
    <w:p>
      <w:pPr>
        <w:spacing w:after="0" w:line="180"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NET</w:t>
      </w:r>
    </w:p>
    <w:p>
      <w:pPr>
        <w:spacing w:after="0" w:line="11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in the condensed consolidated statements of income included the following: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00" w:type="dxa"/>
            <w:vAlign w:val="bottom"/>
            <w:gridSpan w:val="5"/>
          </w:tcPr>
          <w:p>
            <w:pPr>
              <w:jc w:val="right"/>
              <w:ind w:right="288"/>
              <w:spacing w:after="0"/>
              <w:rPr>
                <w:sz w:val="20"/>
                <w:szCs w:val="20"/>
                <w:color w:val="auto"/>
              </w:rPr>
            </w:pPr>
            <w:r>
              <w:rPr>
                <w:rFonts w:ascii="Times New Roman" w:cs="Times New Roman" w:eastAsia="Times New Roman" w:hAnsi="Times New Roman"/>
                <w:sz w:val="14"/>
                <w:szCs w:val="14"/>
                <w:color w:val="auto"/>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4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588"/>
              <w:spacing w:after="0"/>
              <w:rPr>
                <w:sz w:val="20"/>
                <w:szCs w:val="20"/>
                <w:color w:val="auto"/>
              </w:rPr>
            </w:pPr>
            <w:r>
              <w:rPr>
                <w:rFonts w:ascii="Times New Roman" w:cs="Times New Roman" w:eastAsia="Times New Roman" w:hAnsi="Times New Roman"/>
                <w:sz w:val="14"/>
                <w:szCs w:val="14"/>
                <w:color w:val="auto"/>
              </w:rPr>
              <w:t>March 31,</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22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Realized and unrealized (loss) on investments</w:t>
            </w:r>
          </w:p>
        </w:tc>
        <w:tc>
          <w:tcPr>
            <w:tcW w:w="14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4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8"/>
                <w:szCs w:val="18"/>
                <w:color w:val="auto"/>
              </w:rPr>
            </w:pPr>
          </w:p>
        </w:tc>
      </w:tr>
      <w:tr>
        <w:trPr>
          <w:trHeight w:val="229"/>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shd w:val="clear" w:color="auto" w:fill="CFF0FC"/>
          </w:tcPr>
          <w:p>
            <w:pPr>
              <w:spacing w:after="0"/>
              <w:rPr>
                <w:sz w:val="19"/>
                <w:szCs w:val="19"/>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4"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RESTRUCTURING</w:t>
      </w:r>
    </w:p>
    <w:p>
      <w:pPr>
        <w:spacing w:after="0" w:line="117" w:lineRule="exact"/>
        <w:rPr>
          <w:rFonts w:ascii="Times New Roman" w:cs="Times New Roman" w:eastAsia="Times New Roman" w:hAnsi="Times New Roman"/>
          <w:sz w:val="18"/>
          <w:szCs w:val="18"/>
          <w:color w:val="auto"/>
        </w:rPr>
      </w:pPr>
    </w:p>
    <w:p>
      <w:pPr>
        <w:jc w:val="both"/>
        <w:ind w:left="5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as part of the Company's Project Catalyst, a comprehensive operational and efficiency plan, the Company’s Board of Directors approved plans to shut down the Company’s Fieldsboro, New Jersey site and decommission select assets at its Elwood, Illinois (Millsdale) and Stalybridge, U.K. facilities during the first half of 2026. The Company is consolidating the impacted operations into its existing network, improving its asset utilization and reducing its fixed cost basis, while maintaining ongoing supply for its customers. Total pre-tax business restructuring expense related to the asset shutdowns was $65,439,000 during the first quarter of 2026. Restructuring costs in the first quarter of 2026 included $62,367,000 of asset impairment charges. The Fieldsboro, New Jersey site, Elwood, Illinois (Millsdale) site and Stalybridge, U.K site recognized $43,022,000, $14,284,000 and $5,061,000, respectively, in asset impairment charges. The Company also recognized $1,817,000 and $1,255,000 in decommissioning and termination expenses, respectively, some of which were paid during the first quarter of 2026.</w:t>
      </w:r>
    </w:p>
    <w:p>
      <w:pPr>
        <w:spacing w:after="0" w:line="192" w:lineRule="exact"/>
        <w:rPr>
          <w:sz w:val="20"/>
          <w:szCs w:val="20"/>
          <w:color w:val="auto"/>
        </w:rPr>
      </w:pPr>
    </w:p>
    <w:p>
      <w:pPr>
        <w:jc w:val="both"/>
        <w:ind w:left="5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Although all restructuring charges related to the Surfactants segment, they were excluded from the Surfactant segment results and are shown on a separate </w:t>
      </w:r>
      <w:r>
        <w:rPr>
          <w:rFonts w:ascii="Times New Roman" w:cs="Times New Roman" w:eastAsia="Times New Roman" w:hAnsi="Times New Roman"/>
          <w:sz w:val="18"/>
          <w:szCs w:val="18"/>
          <w:i w:val="1"/>
          <w:iCs w:val="1"/>
          <w:color w:val="auto"/>
        </w:rPr>
        <w:t>Business restructuring</w:t>
      </w:r>
      <w:r>
        <w:rPr>
          <w:rFonts w:ascii="Times New Roman" w:cs="Times New Roman" w:eastAsia="Times New Roman" w:hAnsi="Times New Roman"/>
          <w:sz w:val="18"/>
          <w:szCs w:val="18"/>
          <w:color w:val="auto"/>
        </w:rPr>
        <w:t xml:space="preserve"> line item in the Condensed Consolidated Statements of Income for the three months ended March 31, 2026 and 2025. Below is a reconciliation of the beginning and ending balances of the restructuring liability: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Decommissioning and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Termination</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440" w:type="dxa"/>
            <w:vAlign w:val="bottom"/>
            <w:gridSpan w:val="2"/>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315"/>
              <w:spacing w:after="0"/>
              <w:rPr>
                <w:sz w:val="20"/>
                <w:szCs w:val="20"/>
                <w:color w:val="auto"/>
              </w:rPr>
            </w:pPr>
            <w:r>
              <w:rPr>
                <w:rFonts w:ascii="Times New Roman" w:cs="Times New Roman" w:eastAsia="Times New Roman" w:hAnsi="Times New Roman"/>
                <w:sz w:val="14"/>
                <w:szCs w:val="14"/>
                <w:color w:val="auto"/>
              </w:rPr>
              <w:t>Other Charges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4"/>
                <w:szCs w:val="14"/>
                <w:color w:val="auto"/>
              </w:rPr>
              <w:t>Benefits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3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Restructuring liability at</w:t>
            </w:r>
          </w:p>
        </w:tc>
        <w:tc>
          <w:tcPr>
            <w:tcW w:w="7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48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January 1, 2026</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Expenses accrued during the period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w:t>
            </w: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3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Restructuring liability at</w:t>
            </w:r>
          </w:p>
        </w:tc>
        <w:tc>
          <w:tcPr>
            <w:tcW w:w="8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4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5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8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3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March 31, 2026</w:t>
            </w:r>
          </w:p>
        </w:tc>
        <w:tc>
          <w:tcPr>
            <w:tcW w:w="860" w:type="dxa"/>
            <w:vAlign w:val="bottom"/>
            <w:gridSpan w:val="2"/>
            <w:vMerge w:val="continue"/>
            <w:shd w:val="clear" w:color="auto" w:fill="CFF0FC"/>
          </w:tcPr>
          <w:p>
            <w:pPr>
              <w:spacing w:after="0"/>
              <w:rPr>
                <w:sz w:val="20"/>
                <w:szCs w:val="20"/>
                <w:color w:val="auto"/>
              </w:rPr>
            </w:pPr>
          </w:p>
        </w:tc>
        <w:tc>
          <w:tcPr>
            <w:tcW w:w="1480" w:type="dxa"/>
            <w:vAlign w:val="bottom"/>
            <w:vMerge w:val="continue"/>
            <w:shd w:val="clear" w:color="auto" w:fill="CFF0FC"/>
          </w:tcPr>
          <w:p>
            <w:pPr>
              <w:spacing w:after="0"/>
              <w:rPr>
                <w:sz w:val="20"/>
                <w:szCs w:val="20"/>
                <w:color w:val="auto"/>
              </w:rPr>
            </w:pPr>
          </w:p>
        </w:tc>
        <w:tc>
          <w:tcPr>
            <w:tcW w:w="460" w:type="dxa"/>
            <w:vAlign w:val="bottom"/>
            <w:gridSpan w:val="2"/>
            <w:vMerge w:val="continue"/>
            <w:shd w:val="clear" w:color="auto" w:fill="CFF0FC"/>
          </w:tcPr>
          <w:p>
            <w:pPr>
              <w:spacing w:after="0"/>
              <w:rPr>
                <w:sz w:val="20"/>
                <w:szCs w:val="20"/>
                <w:color w:val="auto"/>
              </w:rPr>
            </w:pPr>
          </w:p>
        </w:tc>
        <w:tc>
          <w:tcPr>
            <w:tcW w:w="1160" w:type="dxa"/>
            <w:vAlign w:val="bottom"/>
            <w:vMerge w:val="continue"/>
            <w:shd w:val="clear" w:color="auto" w:fill="CFF0FC"/>
          </w:tcPr>
          <w:p>
            <w:pPr>
              <w:spacing w:after="0"/>
              <w:rPr>
                <w:sz w:val="20"/>
                <w:szCs w:val="20"/>
                <w:color w:val="auto"/>
              </w:rPr>
            </w:pPr>
          </w:p>
        </w:tc>
        <w:tc>
          <w:tcPr>
            <w:tcW w:w="580" w:type="dxa"/>
            <w:vAlign w:val="bottom"/>
            <w:gridSpan w:val="2"/>
            <w:vMerge w:val="continue"/>
            <w:shd w:val="clear" w:color="auto" w:fill="CFF0FC"/>
          </w:tcPr>
          <w:p>
            <w:pPr>
              <w:spacing w:after="0"/>
              <w:rPr>
                <w:sz w:val="20"/>
                <w:szCs w:val="20"/>
                <w:color w:val="auto"/>
              </w:rPr>
            </w:pPr>
          </w:p>
        </w:tc>
        <w:tc>
          <w:tcPr>
            <w:tcW w:w="106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1140" w:type="dxa"/>
            <w:vAlign w:val="bottom"/>
          </w:tcPr>
          <w:p>
            <w:pPr>
              <w:spacing w:after="0"/>
              <w:rPr>
                <w:sz w:val="24"/>
                <w:szCs w:val="24"/>
                <w:color w:val="auto"/>
              </w:rPr>
            </w:pPr>
          </w:p>
        </w:tc>
        <w:tc>
          <w:tcPr>
            <w:tcW w:w="3300" w:type="dxa"/>
            <w:vAlign w:val="bottom"/>
            <w:tcBorders>
              <w:top w:val="single" w:sz="8" w:color="CFF0FC"/>
            </w:tcBorders>
          </w:tcPr>
          <w:p>
            <w:pPr>
              <w:spacing w:after="0"/>
              <w:rPr>
                <w:sz w:val="24"/>
                <w:szCs w:val="24"/>
                <w:color w:val="auto"/>
              </w:rPr>
            </w:pPr>
          </w:p>
        </w:tc>
        <w:tc>
          <w:tcPr>
            <w:tcW w:w="7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right"/>
              <w:ind w:right="975"/>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-933450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-916305</wp:posOffset>
            </wp:positionV>
            <wp:extent cx="5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-933450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-916305</wp:posOffset>
            </wp:positionV>
            <wp:extent cx="51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jc w:val="center"/>
        <w:ind w:right="-79"/>
        <w:spacing w:after="0"/>
        <w:rPr>
          <w:sz w:val="20"/>
          <w:szCs w:val="20"/>
          <w:color w:val="auto"/>
        </w:rPr>
      </w:pPr>
      <w:r>
        <w:rPr>
          <w:rFonts w:ascii="Times New Roman" w:cs="Times New Roman" w:eastAsia="Times New Roman" w:hAnsi="Times New Roman"/>
          <w:sz w:val="18"/>
          <w:szCs w:val="18"/>
          <w:color w:val="auto"/>
        </w:rPr>
        <w:t>The Company anticipates recognizing total restructuring expenses in the range of $70,000,000 to $80,000,000 for full year 2026.</w:t>
      </w:r>
    </w:p>
    <w:p>
      <w:pPr>
        <w:spacing w:after="0" w:line="225"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NONCASH INVESTING AND FINANCING ACTIVITIES</w:t>
      </w:r>
    </w:p>
    <w:p>
      <w:pPr>
        <w:spacing w:after="0" w:line="117" w:lineRule="exact"/>
        <w:rPr>
          <w:rFonts w:ascii="Times New Roman" w:cs="Times New Roman" w:eastAsia="Times New Roman" w:hAnsi="Times New Roman"/>
          <w:sz w:val="18"/>
          <w:szCs w:val="18"/>
          <w:color w:val="auto"/>
        </w:rPr>
      </w:pPr>
    </w:p>
    <w:p>
      <w:pPr>
        <w:jc w:val="both"/>
        <w:ind w:left="5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investing activities included liabilities (accounts payable) incurred for property, plant and equipment expenditures of approximately $9,517,000 and $8,132,000 that were unpaid at March 31, 2026 and 2025, respectively. Noncash financing activities included the issuance of 138,850 shares of the Company’s common stock (valued at $7,511,000) and 94,314 shares of the Company’s common stock (valued at $5,712,000) under the Company’s equity incentive compensation plan during the three months ended March 31, 2026 and 2025, respectively.</w:t>
      </w:r>
    </w:p>
    <w:p>
      <w:pPr>
        <w:spacing w:after="0" w:line="17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ACCOUNTING PRONOUNCEMENTS</w:t>
      </w:r>
    </w:p>
    <w:p>
      <w:pPr>
        <w:spacing w:after="0" w:line="115" w:lineRule="exact"/>
        <w:rPr>
          <w:rFonts w:ascii="Times New Roman" w:cs="Times New Roman" w:eastAsia="Times New Roman" w:hAnsi="Times New Roman"/>
          <w:sz w:val="18"/>
          <w:szCs w:val="18"/>
          <w:color w:val="auto"/>
        </w:rPr>
      </w:pPr>
    </w:p>
    <w:p>
      <w:pPr>
        <w:jc w:val="both"/>
        <w:ind w:left="5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No.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Reporting Comprehensive income - Expense Disaggregation Disclosures (Subtopic 220-40)</w:t>
      </w:r>
      <w:r>
        <w:rPr>
          <w:rFonts w:ascii="Times New Roman" w:cs="Times New Roman" w:eastAsia="Times New Roman" w:hAnsi="Times New Roman"/>
          <w:sz w:val="18"/>
          <w:szCs w:val="18"/>
          <w:color w:val="auto"/>
        </w:rPr>
        <w:t>. This update requires that public entities on an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annual basis disclose, in the notes to financial statements, specified information about certain costs and expenses. ASU No. 2024-03 requires a footnote disclosure in tabular form of each expense caption on the face of the income statement that includes any of the following natural expenses:</w:t>
      </w:r>
    </w:p>
    <w:p>
      <w:pPr>
        <w:spacing w:after="0" w:line="1" w:lineRule="exact"/>
        <w:rPr>
          <w:rFonts w:ascii="Times New Roman" w:cs="Times New Roman" w:eastAsia="Times New Roman" w:hAnsi="Times New Roman"/>
          <w:sz w:val="18"/>
          <w:szCs w:val="18"/>
          <w:color w:val="auto"/>
        </w:rPr>
      </w:pPr>
    </w:p>
    <w:p>
      <w:pPr>
        <w:jc w:val="both"/>
        <w:ind w:left="5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purchases of inventory, (2) employee compensation, (3) depreciation, and (4) intangible asset amortization. The disclosure would also include a qualitative description of the amounts remaining in relevant expense captions that are not separately disaggregated quantitatively and disclosure of the total amount of selling expenses and, in annual reporting periods, an entity’s definition of selling expenses. This ASU does not change or remove existing expense disclosure requirements; however, it may affect where that information appears in the footnotes to the financial statements. In January 2025, the FASB issued ASU No. 2025-01,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Clarifying the effective date. </w:t>
      </w:r>
      <w:r>
        <w:rPr>
          <w:rFonts w:ascii="Times New Roman" w:cs="Times New Roman" w:eastAsia="Times New Roman" w:hAnsi="Times New Roman"/>
          <w:sz w:val="18"/>
          <w:szCs w:val="18"/>
          <w:color w:val="auto"/>
        </w:rPr>
        <w:t>The amendments in ASU No. 2024-03 are effective for annual periods beginning after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 2026 and interim reporting periods beginning after December 15, 2027. The amendments in this update should be applied either prospectively to financial statements issued for reporting periods after the effective date or retrospectively to any or all prior periods presented in the financial statements. The implementation of ASU No. 2024-03 will not have an impact on the Company’s financial position, results of operations and cash flow but will impact the Company’s interim and annual disclosures related to the relevant subtopics in this update.</w:t>
      </w:r>
    </w:p>
    <w:p>
      <w:pPr>
        <w:spacing w:after="0" w:line="191" w:lineRule="exact"/>
        <w:rPr>
          <w:sz w:val="20"/>
          <w:szCs w:val="20"/>
          <w:color w:val="auto"/>
        </w:rPr>
      </w:pPr>
    </w:p>
    <w:p>
      <w:pPr>
        <w:jc w:val="both"/>
        <w:ind w:left="5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Amendment of the FASB Accounting Standards Codification Targeted Improvements to the Accounting for Internal-Use Software. </w:t>
      </w:r>
      <w:r>
        <w:rPr>
          <w:rFonts w:ascii="Times New Roman" w:cs="Times New Roman" w:eastAsia="Times New Roman" w:hAnsi="Times New Roman"/>
          <w:sz w:val="18"/>
          <w:szCs w:val="18"/>
          <w:color w:val="auto"/>
        </w:rPr>
        <w:t>This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all references to software development stages so the entities start capitalizing software costs when 1) management has authorized and committed to funding the software projects and 2) it is probable that the project will be completed and the software will be used to perform the functions intended. Under the current rule, entities are required to capitalize development costs incurred depending on the nature of the costs and the project stage during which they occur. The amendments in this update are effective for annual periods beginning after December 15, 2027, and interim periods within those annual reporting periods. Early adoption is permitted as of the beginning of the annual reporting period. The Company is in the process of evaluating ASU 2025-06 to determine its impact, if any, on the Company’s financial position, results of operations and cash flows.</w:t>
      </w:r>
    </w:p>
    <w:p>
      <w:pPr>
        <w:spacing w:after="0" w:line="190"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EVENT</w:t>
      </w:r>
    </w:p>
    <w:p>
      <w:pPr>
        <w:spacing w:after="0" w:line="117" w:lineRule="exact"/>
        <w:rPr>
          <w:rFonts w:ascii="Times New Roman" w:cs="Times New Roman" w:eastAsia="Times New Roman" w:hAnsi="Times New Roman"/>
          <w:sz w:val="18"/>
          <w:szCs w:val="18"/>
          <w:color w:val="auto"/>
        </w:rPr>
      </w:pPr>
    </w:p>
    <w:p>
      <w:pPr>
        <w:jc w:val="both"/>
        <w:ind w:left="5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24, 2026, the Company entered into a Purchase and Sale Agreement to sell a parcel of the Company’s land near its Elwood, IL (Millsdale) site. The agreed upon purchase price for the property is $30,000,000 and is subject to customary adjustments and closing conditions. The transaction is expected to close during the second half of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management’s discussion and analysis (MD&amp;A) of certain significant factors that have affected the Company’s financial condition and results of operations during the interim periods included in the accompanying condensed consolidated financial statements.</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Certain statements in this Quarterly Report on Form 10-Q, other than purely historical information, are “forward-looking statements” within the meaning of the Private Securities Litigation Reform Act of 1995, Section 27A of the Securities Act of 1933, as amended, and Section 21E of the Securities Exchange Act of 1934, as amended (the Exchange Act). These statements include statements about Stepan Company’s and its subsidiaries’ (the Company)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In some cases, forward-looking statements can be identified by the use of words such as “may,” “could,” “expect,” “intend,” “plan,” “seek,” “anticipate,” “believe,” “estimate,” “guidance,” “predict,” “potential,” “continue,” “likely,” “will,” “would,” “should,” “illustrative” and variations of these terms and similar expressions, or the negative of these terms or similar expressions. Such forward-looking statements are necessarily based upon estimates and assumptions that, while considered reasonable by the Company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Quarterly Report on Form 10-Q.</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Such risks, uncertainties and other important factors, include, among others, the risks, uncertainties and factors set forth under “Part II-Item 1A - Risk Factors” of this Quarterly Report on Form 10-Q and under “Part I-Item 1A. Risk Factors” in the Company’s Annual Report on Form 10-K for the year ended December 31, 2025, including the risks and uncertainties related to the following:</w:t>
      </w:r>
    </w:p>
    <w:p>
      <w:pPr>
        <w:spacing w:after="0" w:line="68"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unplanned production shutdowns or disruptions in any of the Company’s manufacturing facilities;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for Company products due to customer product reformulations or new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develop or introduce new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realize the anticipated cost savings and/or operating efficiencies associated with strategic initiatives;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health and safety, product registration and anti-corruption laws;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make acquisitions of suitable candidates and successfully integrate acquisitions;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competition and the Company’s ability to successfully compete;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raw material, natural gas and electricity costs as well as any disruption in their supply;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transportation or significant changes in transportation costs;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downturns in certain industries and general economic downturns;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business risks, including changes in global trade policies, tariffs, retaliatory measures and countermeasures, currency exchange controls, fluctuations in currency exchange rates, legal restrictions and taxes;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resolution of litigation against the Company;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keep and protect its intellectual property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due to the international scope of the Company’s operations;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to the Company’s credit ratings or disruptions to the Company’s ability to access well-functioning capital markets;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military actions, terrorist attacks and general instability, particularly in certain energy-producing nations, along with increased security regulations;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overruns, delays and miscalculations in capacity needs with respect to the Company’s expansion or other capital projects;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damage to or compromise of the Company’s IT systems and failure to maintain the integrity of customer, colleague or Company data or illegal or fraudulent activities committed against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retain its executive management and other key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within the limitations of debt covenants;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set forth under “Risk Factors.”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These factors are not necessarily all of the important factors that could cause the Company’s actual financial results, performance, achievements or prospects to differ materially from those expressed in or implied by any of the Company's forward-looking statements. Other unknown or unpredictable factors could also impact the Company’s results. All forward-looking statements attributable to the Company or persons acting on the Company’s behalf are expressly qualified in their entirety by the cautionary statements set forth above. Forward-looking statements speak only as of the date they are made, and the Company does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laws. If the Company updates one or more forward-looking statements, no inference should be drawn that the Company will make additional updates with respect to those or other forward-looking statements.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“we,” “our” or “us” means Stepan Company and one or more of its subsidiaries only.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produces and sells intermediate chemicals that are used in a wide variety of applications worldwide. The overall business is comprised of three reportable segments: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Surfactants</w:t>
      </w:r>
      <w:r>
        <w:rPr>
          <w:rFonts w:ascii="Times New Roman" w:cs="Times New Roman" w:eastAsia="Times New Roman" w:hAnsi="Times New Roman"/>
          <w:sz w:val="18"/>
          <w:szCs w:val="18"/>
          <w:color w:val="auto"/>
        </w:rPr>
        <w:t xml:space="preserve"> – Surfactants, which accounted for 75 percent of consolidated net sales for the first three months of 2026, are principal ingredients in consumer and industrial cleaning and disinfection products such as detergents for washing clothes, dishes, carpets, floors and walls, as well as shampoos and body washes. Other applications include fabric softeners, germicidal quaternary compounds, disinfectants, lubricating ingredients, emulsifiers for spreading agricultural products and industrial applications such as latex systems, plastics and composites. Surfactants are manufactured at five sites in the United States, two European sites (United Kingdom and France), five Latin American sites (one site in Colombia and two sites in each of Mexico and Brazil) and one Asian site (Singapore).</w:t>
      </w:r>
    </w:p>
    <w:p>
      <w:pPr>
        <w:spacing w:after="0" w:line="79" w:lineRule="exact"/>
        <w:rPr>
          <w:sz w:val="20"/>
          <w:szCs w:val="20"/>
          <w:color w:val="auto"/>
        </w:rPr>
      </w:pPr>
    </w:p>
    <w:p>
      <w:pPr>
        <w:jc w:val="both"/>
        <w:ind w:left="1020" w:hanging="503"/>
        <w:spacing w:after="0" w:line="25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February 2026, the Company announced Project Catalyst, a comprehensive operational and efficiency plan. As part of Project Catalyst, the Board of Directors approved plans to shut down the Company's Fieldsboro, New Jersey site and decommission select assets at its Elwood, Illinois (Millsdale) and Stalybridge, U.K. facilities during the first half of 2026. The Company is consolidating impacted operations into its existing network, improving its asset utilization and reducing its fixed cost basis, while maintaining ongoing supply for its customers. The Company recognized $65.4 million of pre-tax business restructuring expense related to these asset shutdowns during the first quarter of 2026. This restructuring expense is captured on a separate </w:t>
      </w:r>
      <w:r>
        <w:rPr>
          <w:rFonts w:ascii="Times New Roman" w:cs="Times New Roman" w:eastAsia="Times New Roman" w:hAnsi="Times New Roman"/>
          <w:sz w:val="18"/>
          <w:szCs w:val="18"/>
          <w:i w:val="1"/>
          <w:iCs w:val="1"/>
          <w:color w:val="auto"/>
        </w:rPr>
        <w:t>Business Restructuring</w:t>
      </w:r>
      <w:r>
        <w:rPr>
          <w:rFonts w:ascii="Times New Roman" w:cs="Times New Roman" w:eastAsia="Times New Roman" w:hAnsi="Times New Roman"/>
          <w:sz w:val="18"/>
          <w:szCs w:val="18"/>
          <w:color w:val="auto"/>
        </w:rPr>
        <w:t xml:space="preserve"> line item on the Condensed Consolidated Statements of Income for the three months ended March 31, 2026. See Note 16, </w:t>
      </w:r>
      <w:r>
        <w:rPr>
          <w:rFonts w:ascii="Times New Roman" w:cs="Times New Roman" w:eastAsia="Times New Roman" w:hAnsi="Times New Roman"/>
          <w:sz w:val="18"/>
          <w:szCs w:val="18"/>
          <w:i w:val="1"/>
          <w:iCs w:val="1"/>
          <w:color w:val="auto"/>
        </w:rPr>
        <w:t>Business Restructuring,</w:t>
      </w:r>
      <w:r>
        <w:rPr>
          <w:rFonts w:ascii="Times New Roman" w:cs="Times New Roman" w:eastAsia="Times New Roman" w:hAnsi="Times New Roman"/>
          <w:sz w:val="18"/>
          <w:szCs w:val="18"/>
          <w:color w:val="auto"/>
        </w:rPr>
        <w:t xml:space="preserve"> of the notes to the Company's consolidated financial statements for more details.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Polymers</w:t>
      </w:r>
      <w:r>
        <w:rPr>
          <w:rFonts w:ascii="Times New Roman" w:cs="Times New Roman" w:eastAsia="Times New Roman" w:hAnsi="Times New Roman"/>
          <w:sz w:val="18"/>
          <w:szCs w:val="18"/>
          <w:color w:val="auto"/>
        </w:rPr>
        <w:t xml:space="preserve"> – Polymers, which accounted for 22 percent of consolidated net sales for the first three months of 2026, include polyurethane polyols, polyester resins and phthalic anhydride. Polyurethane polyols are used in the manufacture of rigid foam for thermal insulation in the construction industry and are also a base raw material for coatings, adhesives, sealants and elastomers (collectively, CASE products). Powdered polyester resins are used in coating applications. CASE and powdered polyester resins are collectively referred to as specialty polyols. Phthalic anhydride is used in unsaturated polyester resins, alkyd resins and plasticizers for applications in construction materials and components of automotive, boating and other consumer products. In addition, the Company uses phthalic anhydride internally in the production of polyols. In the United States, polyurethane polyols are manufactured at the Company’s Elwood, Illinois (Millsdale) and Wilmington, North Carolina sites. Phthalic anhydride is manufactured at the Company’s Millsdale site and specialty polyols are manufactured at the Company’s Columbus, Georgia, site. In Europe, polyurethane polyols are manufactured at the Company’s plants in Germany and the Netherlands and specialty polyols are manufactured at the Company’s Poland site. In Asia, polyurethane polyols and specialty polyols are manufactured at the Company’s China plant.</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Specialty Products</w:t>
      </w:r>
      <w:r>
        <w:rPr>
          <w:rFonts w:ascii="Times New Roman" w:cs="Times New Roman" w:eastAsia="Times New Roman" w:hAnsi="Times New Roman"/>
          <w:sz w:val="18"/>
          <w:szCs w:val="18"/>
          <w:color w:val="auto"/>
        </w:rPr>
        <w:t xml:space="preserve"> – Specialty products, which accounted for three percent of consolidated net sales for the first three months of 2026, include flavors, emulsifiers and solubilizers used in food, flavoring, nutritional supplement and pharmaceutical applications. Specialty products are primarily manufactured at the Company’s Maywood, New Jersey, site.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Deferred Compensation Plans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for the Company’s deferred compensation plans can cause period-to-period fluctuations in Company income and expenses. Compensation expense is recognized when the value of the Company's common stock and mutual fund investment assets held for the plans increase, and compensation income is recognized when the value of the Company's common stock and mutual fund investment assets decline. The pretax effect of all deferred compensation-related activities (including realized and unrealized gains and losses on the mutual fund assets held to fund the deferred compensation obligations) and the income statement line items in which the effects of the activities were recorded are displayed in the following table:</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4"/>
          </w:tcPr>
          <w:p>
            <w:pPr>
              <w:jc w:val="center"/>
              <w:ind w:left="379"/>
              <w:spacing w:after="0"/>
              <w:rPr>
                <w:sz w:val="20"/>
                <w:szCs w:val="20"/>
                <w:color w:val="auto"/>
              </w:rPr>
            </w:pPr>
            <w:r>
              <w:rPr>
                <w:rFonts w:ascii="Times New Roman" w:cs="Times New Roman" w:eastAsia="Times New Roman" w:hAnsi="Times New Roman"/>
                <w:sz w:val="14"/>
                <w:szCs w:val="14"/>
                <w:color w:val="auto"/>
              </w:rPr>
              <w:t>Income (Expense)</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48"/>
        </w:trPr>
        <w:tc>
          <w:tcPr>
            <w:tcW w:w="5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20" w:type="dxa"/>
            <w:vAlign w:val="bottom"/>
            <w:gridSpan w:val="6"/>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For the Three Months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71"/>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left="379"/>
              <w:spacing w:after="0"/>
              <w:rPr>
                <w:sz w:val="20"/>
                <w:szCs w:val="20"/>
                <w:color w:val="auto"/>
              </w:rPr>
            </w:pPr>
            <w:r>
              <w:rPr>
                <w:rFonts w:ascii="Times New Roman" w:cs="Times New Roman" w:eastAsia="Times New Roman" w:hAnsi="Times New Roman"/>
                <w:sz w:val="14"/>
                <w:szCs w:val="14"/>
                <w:color w:val="auto"/>
              </w:rPr>
              <w:t>Ended March 31,</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96"/>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w w:val="99"/>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Change</w:t>
            </w:r>
          </w:p>
        </w:tc>
        <w:tc>
          <w:tcPr>
            <w:tcW w:w="320" w:type="dxa"/>
            <w:vAlign w:val="bottom"/>
          </w:tcPr>
          <w:p>
            <w:pPr>
              <w:spacing w:after="0"/>
              <w:rPr>
                <w:sz w:val="17"/>
                <w:szCs w:val="17"/>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 Expense (Income) (Operating expenses)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80"/>
              <w:spacing w:after="0" w:line="210" w:lineRule="exact"/>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24"/>
                <w:szCs w:val="24"/>
                <w:color w:val="auto"/>
                <w:vertAlign w:val="superscript"/>
              </w:rPr>
              <w:t>(1)</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Realized/Unrealized Loss on Investments (Other, net)</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 (Other, net)</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Pretax Income Effect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-170815</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-170815</wp:posOffset>
            </wp:positionV>
            <wp:extent cx="596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7" w:lineRule="exact"/>
        <w:rPr>
          <w:sz w:val="20"/>
          <w:szCs w:val="20"/>
          <w:color w:val="auto"/>
        </w:rPr>
      </w:pPr>
    </w:p>
    <w:p>
      <w:pPr>
        <w:ind w:left="1000" w:hanging="483"/>
        <w:spacing w:after="0"/>
        <w:tabs>
          <w:tab w:leader="none" w:pos="10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w:t>
      </w:r>
      <w:r>
        <w:rPr>
          <w:rFonts w:ascii="Times New Roman" w:cs="Times New Roman" w:eastAsia="Times New Roman" w:hAnsi="Times New Roman"/>
          <w:sz w:val="16"/>
          <w:szCs w:val="16"/>
          <w:i w:val="1"/>
          <w:iCs w:val="1"/>
          <w:color w:val="auto"/>
        </w:rPr>
        <w:t>Segment Results-Corporate Expenses</w:t>
      </w:r>
      <w:r>
        <w:rPr>
          <w:rFonts w:ascii="Times New Roman" w:cs="Times New Roman" w:eastAsia="Times New Roman" w:hAnsi="Times New Roman"/>
          <w:sz w:val="16"/>
          <w:szCs w:val="16"/>
          <w:color w:val="auto"/>
        </w:rPr>
        <w:t xml:space="preserve"> section of this MD&amp;A for details regarding the period-over-period changes in deferred compensation.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Foreign Currency Translation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foreign subsidiaries transact business and report financial results in their respective local currencies. As a result, foreign subsidiary income statements are translated into U.S. dollars at average foreign exchange rates appropriate for the reporting period. Because foreign exchange rates fluctuate against the U.S. dollar over time, foreign currency translation affects period-to-period comparisons of financial statement items (i.e., because foreign exchange rates fluctuate, similar period-to-period local currency results for a foreign subsidiary may translate into different U.S. dollar results). The following table presents the effects that foreign currency translation had on the period-over-period changes in consolidated net sales and various income statement line items for the three months ended March 31, 2026 and 2025:</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5"/>
          </w:tcPr>
          <w:p>
            <w:pPr>
              <w:jc w:val="right"/>
              <w:ind w:right="414"/>
              <w:spacing w:after="0"/>
              <w:rPr>
                <w:sz w:val="20"/>
                <w:szCs w:val="20"/>
                <w:color w:val="auto"/>
              </w:rPr>
            </w:pPr>
            <w:r>
              <w:rPr>
                <w:rFonts w:ascii="Times New Roman" w:cs="Times New Roman" w:eastAsia="Times New Roman" w:hAnsi="Times New Roman"/>
                <w:sz w:val="14"/>
                <w:szCs w:val="14"/>
                <w:color w:val="auto"/>
              </w:rPr>
              <w:t>For the Three Months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554"/>
              <w:spacing w:after="0"/>
              <w:rPr>
                <w:sz w:val="20"/>
                <w:szCs w:val="20"/>
                <w:color w:val="auto"/>
              </w:rPr>
            </w:pPr>
            <w:r>
              <w:rPr>
                <w:rFonts w:ascii="Times New Roman" w:cs="Times New Roman" w:eastAsia="Times New Roman" w:hAnsi="Times New Roman"/>
                <w:sz w:val="14"/>
                <w:szCs w:val="14"/>
                <w:color w:val="auto"/>
              </w:rPr>
              <w:t>Ended March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119"/>
        </w:trPr>
        <w:tc>
          <w:tcPr>
            <w:tcW w:w="5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Increase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Pr>
          <w:p>
            <w:pPr>
              <w:spacing w:after="0"/>
              <w:rPr>
                <w:sz w:val="12"/>
                <w:szCs w:val="12"/>
                <w:color w:val="auto"/>
              </w:rPr>
            </w:pPr>
          </w:p>
        </w:tc>
        <w:tc>
          <w:tcPr>
            <w:tcW w:w="82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color w:val="auto"/>
              </w:rPr>
              <w:t>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Due to Foreign</w:t>
            </w: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(Decrease)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Translation</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(79.2)</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March 31, 2026 and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incurred a $41.1 million net loss in the first quarter of 2026, or $1.81 per diluted share loss, versus income of $19.7 million, or $0.86 per diluted share, in the first quarter of 2025. The current year loss resulted from a $51.2 million after-tax restructuring charge recognized in the first quarter of 2026. Adjusted net income was $10.3 million, or $0.45 per diluted share, versus $19.3 million, or $0.84 per diluted share in the first quarter of 2025 (see the “Reconciliation of Non-GAAP Adjusted Net Income and Diluted Earnings per Share” section of this MD&amp;A for a reconciliation between reported net income (loss) and reported earnings (loss) per diluted share and non-GAAP adjusted net income and adjusted earnings per diluted share). Earnings before interest, taxes, depreciation and amortization (EBITDA) were a loss of $16.5 million in the first quarter of 2026, versus $58.0 million of income in the first quarter of 2025. Adjusted EBITDA was $49.6 million, down 14 percent, versus $57.5 million in the first quarter of 2025 (see the "Reconciliation of non-GAAP EBITDA and Adjusted EBITDA" section of this MD&amp;A for a reconciliation between reported operating income and non-GAAP EBITDA and Adjusted EBITDA). Below is a summary discussion of the major factors leading to the changes in net sales, expenses and income in the first quarter of 2026 compared to the first quarter of 2025. A detailed discussion of segment operating performance for the first quarter of 2026, compared to the first quarter of 2025, follows the summary.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2" w:name="page23"/>
    <w:bookmarkEnd w:id="22"/>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Consolidated net sales increased $11.2 million, or two percent, year-over-year. The favorable impact of foreign currency translation and higher average selling prices positively impacted the year-over-year change in net sales by $25.3 million and $1.3 million, respectively. The favorable foreign currency translation impact reflects a weaker U.S. dollar against most of the currencies in locations where the Company conducts its business. The increase in average selling prices was mainly attributable to the pass-through of higher raw material costs and more favorable product mix. Consolidated sales volume decreased three percent, which negatively impacted the change in net sales by $15.4 million. Organic net sales (excluding the divestiture of assets in the Philippines) increased four percent year-over-year and organic sales volume was flat year-over-year. Surfactant and Polymer sales volumes decreased two and six percent, respectively, year-over-year. Specialty Products sales volume increased 30 percent.</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incurred a $49.6 million operating loss in the first quarter of 2026 versus $28.3 million of operating income in the first quarter of 2025. The first quarter of 2026 results include a $65.4 million pre-tax restructuring charge. Although the restructuring charges related to the Surfactants segment, all charges associated with the restructuring were excluded from the Surfactant segment results. Rather, the restructuring charges are reflected on a separate </w:t>
      </w:r>
      <w:r>
        <w:rPr>
          <w:rFonts w:ascii="Times New Roman" w:cs="Times New Roman" w:eastAsia="Times New Roman" w:hAnsi="Times New Roman"/>
          <w:sz w:val="18"/>
          <w:szCs w:val="18"/>
          <w:i w:val="1"/>
          <w:iCs w:val="1"/>
          <w:color w:val="auto"/>
        </w:rPr>
        <w:t>Business Restructuring</w:t>
      </w:r>
      <w:r>
        <w:rPr>
          <w:rFonts w:ascii="Times New Roman" w:cs="Times New Roman" w:eastAsia="Times New Roman" w:hAnsi="Times New Roman"/>
          <w:sz w:val="18"/>
          <w:szCs w:val="18"/>
          <w:color w:val="auto"/>
        </w:rPr>
        <w:t xml:space="preserve"> line in the Condensed Consolidated Statements of Income for the first quarter of 2026. Surfactant and Specialty Products operating income decreased $10.4 million and $0.8 million, respectively, year-over-year. Polymer operating income increased $0.8 million versus the first quarter of 2025. Corporate expenses, including business restructuring, environmental remediation and deferred compensation expenses increased $67.5 million, year-over-year. Corporate expenses, excluding business restructuring, environmental remediation and deferred compensation expenses increased $0.5 million, or four percent, year-over-year. Foreign currency translation had a $1.3 million positive impact on operating income year-over-year.</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excluding the business restructuring charges noted above, increased $1.9 million, or four percent, year-over-year. Changes in the individual income statement line items that comprise the Company’s operating expenses were as follows:</w:t>
      </w:r>
    </w:p>
    <w:p>
      <w:pPr>
        <w:spacing w:after="0" w:line="54" w:lineRule="exact"/>
        <w:rPr>
          <w:sz w:val="20"/>
          <w:szCs w:val="20"/>
          <w:color w:val="auto"/>
        </w:rPr>
      </w:pPr>
    </w:p>
    <w:p>
      <w:pPr>
        <w:ind w:left="900" w:hanging="372"/>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were flat year-over-year.</w:t>
      </w:r>
    </w:p>
    <w:p>
      <w:pPr>
        <w:spacing w:after="0" w:line="117" w:lineRule="exact"/>
        <w:rPr>
          <w:rFonts w:ascii="Times New Roman" w:cs="Times New Roman" w:eastAsia="Times New Roman" w:hAnsi="Times New Roman"/>
          <w:sz w:val="18"/>
          <w:szCs w:val="18"/>
          <w:color w:val="auto"/>
        </w:rPr>
      </w:pPr>
    </w:p>
    <w:p>
      <w:pPr>
        <w:ind w:left="900" w:hanging="372"/>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expenses were flat year-over-year.</w:t>
      </w:r>
    </w:p>
    <w:p>
      <w:pPr>
        <w:spacing w:after="0" w:line="117" w:lineRule="exact"/>
        <w:rPr>
          <w:rFonts w:ascii="Times New Roman" w:cs="Times New Roman" w:eastAsia="Times New Roman" w:hAnsi="Times New Roman"/>
          <w:sz w:val="18"/>
          <w:szCs w:val="18"/>
          <w:color w:val="auto"/>
        </w:rPr>
      </w:pPr>
    </w:p>
    <w:p>
      <w:pPr>
        <w:ind w:left="900" w:hanging="372"/>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development and technical service (R&amp;D) expenses increased $0.3 million, or two percent.</w:t>
      </w:r>
    </w:p>
    <w:p>
      <w:pPr>
        <w:spacing w:after="0" w:line="117" w:lineRule="exact"/>
        <w:rPr>
          <w:rFonts w:ascii="Times New Roman" w:cs="Times New Roman" w:eastAsia="Times New Roman" w:hAnsi="Times New Roman"/>
          <w:sz w:val="18"/>
          <w:szCs w:val="18"/>
          <w:color w:val="auto"/>
        </w:rPr>
      </w:pPr>
    </w:p>
    <w:p>
      <w:pPr>
        <w:jc w:val="both"/>
        <w:ind w:left="900" w:hanging="372"/>
        <w:spacing w:after="0" w:line="26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Deferred compensation was $0.6 million of expense in the first quarter of 2026 versus $1.0 million of income in the prior year quarter. The $1.6 million year-over-year increase in deferred compensation expense primarily reflects a $2.62 per share increase in the market price of the Company's common stock during the first quarter of 2026 versus a $9.66 per share decrease in the first quarter of 2025. See the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Segment Results-Corporate Expenses </w:t>
      </w:r>
      <w:r>
        <w:rPr>
          <w:rFonts w:ascii="Times New Roman" w:cs="Times New Roman" w:eastAsia="Times New Roman" w:hAnsi="Times New Roman"/>
          <w:sz w:val="18"/>
          <w:szCs w:val="18"/>
          <w:color w:val="auto"/>
        </w:rPr>
        <w:t>section of this MD&amp;A for further details.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interest expense for the first quarter of 2026 increased $0.9 million, or 21 percent, versus the first quarter of 2025. This increase was primarily attributable to lower U.S. capitalized interest income recognized in 2026 as the Company's new specialty alkoxylation facility in Pasadena, Texas started up in April 2025.</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Other, net was $0.1 million of income in the first quarter of 2026 versus $0.5 million of income in the first quarter of 2025. The Company recognized $0.1 million of investment losses (including realized and unrealized gains and losses) for the Company’s deferred compensation and supplemental defined contribution mutual fund assets in the first quarter of 2026 compared to $0.4 million of investment losses in the first quarter of 2025. In addition, the Company reported $0.2 million of foreign exchange gains in the first quarter of 2026 versus $0.6 million of foreign exchange gains in the first quarter of 2025. The Company's net periodic pension income was less than $0.1 million of income in the first quarter of 2026 versus $0.3 million of income in the first quarter of 2025.</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24.0 percent in the first quarter of 2026 versus 20.1 percent in the first quarter of 2025. This increase was primarily attributable to the impact of select uncertain tax positions, deferred tax adjustments, and planned cash repatriation whose amounts did not change materially year-over-year. However, these amounts had a more pronounced impact on the effective tax rate due to the pre-tax loss in the first quarter of 2026 versus pre-tax income in the first quarter of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color w:val="auto"/>
              </w:rPr>
              <w:t>For the Three Months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28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color w:val="auto"/>
              </w:rPr>
              <w:t>Ended March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Increase</w:t>
            </w:r>
          </w:p>
        </w:tc>
        <w:tc>
          <w:tcPr>
            <w:tcW w:w="17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19"/>
        </w:trPr>
        <w:tc>
          <w:tcPr>
            <w:tcW w:w="580" w:type="dxa"/>
            <w:vAlign w:val="bottom"/>
          </w:tcPr>
          <w:p>
            <w:pPr>
              <w:spacing w:after="0"/>
              <w:rPr>
                <w:sz w:val="10"/>
                <w:szCs w:val="10"/>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6"/>
              </w:rPr>
              <w:t>Net Sales</w:t>
            </w:r>
          </w:p>
        </w:tc>
        <w:tc>
          <w:tcPr>
            <w:tcW w:w="2600" w:type="dxa"/>
            <w:vAlign w:val="bottom"/>
            <w:vMerge w:val="restart"/>
          </w:tcPr>
          <w:p>
            <w:pPr>
              <w:spacing w:after="0"/>
              <w:rPr>
                <w:sz w:val="10"/>
                <w:szCs w:val="10"/>
                <w:color w:val="auto"/>
              </w:rPr>
            </w:pPr>
          </w:p>
        </w:tc>
        <w:tc>
          <w:tcPr>
            <w:tcW w:w="19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78"/>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380"/>
              <w:spacing w:after="0" w:line="125" w:lineRule="exact"/>
              <w:rPr>
                <w:sz w:val="20"/>
                <w:szCs w:val="20"/>
                <w:color w:val="auto"/>
              </w:rPr>
            </w:pPr>
            <w:r>
              <w:rPr>
                <w:rFonts w:ascii="Times New Roman" w:cs="Times New Roman" w:eastAsia="Times New Roman" w:hAnsi="Times New Roman"/>
                <w:sz w:val="14"/>
                <w:szCs w:val="14"/>
                <w:color w:val="auto"/>
              </w:rPr>
              <w:t>(Decrease)</w:t>
            </w:r>
          </w:p>
        </w:tc>
        <w:tc>
          <w:tcPr>
            <w:tcW w:w="1740" w:type="dxa"/>
            <w:vAlign w:val="bottom"/>
            <w:gridSpan w:val="3"/>
          </w:tcPr>
          <w:p>
            <w:pPr>
              <w:ind w:left="320"/>
              <w:spacing w:after="0" w:line="125" w:lineRule="exact"/>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Surfactants</w:t>
            </w:r>
          </w:p>
        </w:tc>
        <w:tc>
          <w:tcPr>
            <w:tcW w:w="19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3280" w:type="dxa"/>
            <w:vAlign w:val="bottom"/>
            <w:gridSpan w:val="2"/>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453,687</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430,337</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23,350</w:t>
            </w:r>
          </w:p>
        </w:tc>
        <w:tc>
          <w:tcPr>
            <w:tcW w:w="200" w:type="dxa"/>
            <w:vAlign w:val="bottom"/>
            <w:vMerge w:val="continue"/>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Polymers</w:t>
            </w:r>
          </w:p>
        </w:tc>
        <w:tc>
          <w:tcPr>
            <w:tcW w:w="1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130,029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146,116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(16,087)</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Products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3,991</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9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604,509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593,255</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11,254</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tbl>
      <w:tblPr>
        <w:tblLayout w:type="fixed"/>
        <w:tblInd w:w="58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13"/>
                <w:szCs w:val="13"/>
                <w:color w:val="auto"/>
              </w:rPr>
            </w:pPr>
          </w:p>
        </w:tc>
        <w:tc>
          <w:tcPr>
            <w:tcW w:w="22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color w:val="auto"/>
              </w:rPr>
              <w:t>For the Three Months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color w:val="auto"/>
              </w:rPr>
              <w:t>Ended March 31,</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Increase</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19"/>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Operating Income</w:t>
            </w:r>
          </w:p>
        </w:tc>
        <w:tc>
          <w:tcPr>
            <w:tcW w:w="3940" w:type="dxa"/>
            <w:vAlign w:val="bottom"/>
            <w:vMerge w:val="restart"/>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tcBorders>
              <w:bottom w:val="single" w:sz="8" w:color="auto"/>
            </w:tcBorders>
            <w:vMerge w:val="continue"/>
          </w:tcPr>
          <w:p>
            <w:pPr>
              <w:spacing w:after="0"/>
              <w:rPr>
                <w:sz w:val="12"/>
                <w:szCs w:val="12"/>
                <w:color w:val="auto"/>
              </w:rPr>
            </w:pPr>
          </w:p>
        </w:tc>
        <w:tc>
          <w:tcPr>
            <w:tcW w:w="3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400"/>
              <w:spacing w:after="0" w:line="125" w:lineRule="exact"/>
              <w:rPr>
                <w:sz w:val="20"/>
                <w:szCs w:val="20"/>
                <w:color w:val="auto"/>
              </w:rPr>
            </w:pPr>
            <w:r>
              <w:rPr>
                <w:rFonts w:ascii="Times New Roman" w:cs="Times New Roman" w:eastAsia="Times New Roman" w:hAnsi="Times New Roman"/>
                <w:sz w:val="14"/>
                <w:szCs w:val="14"/>
                <w:color w:val="auto"/>
              </w:rPr>
              <w:t>(Decrease)</w:t>
            </w:r>
          </w:p>
        </w:tc>
        <w:tc>
          <w:tcPr>
            <w:tcW w:w="1180" w:type="dxa"/>
            <w:vAlign w:val="bottom"/>
            <w:gridSpan w:val="2"/>
          </w:tcPr>
          <w:p>
            <w:pPr>
              <w:ind w:left="320"/>
              <w:spacing w:after="0" w:line="125" w:lineRule="exact"/>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Surfactants</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gridSpan w:val="2"/>
            <w:vMerge w:val="continue"/>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18,548</w:t>
            </w:r>
          </w:p>
        </w:tc>
        <w:tc>
          <w:tcPr>
            <w:tcW w:w="22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28,930</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(10,382)</w:t>
            </w:r>
          </w:p>
        </w:tc>
        <w:tc>
          <w:tcPr>
            <w:tcW w:w="200" w:type="dxa"/>
            <w:vAlign w:val="bottom"/>
            <w:vMerge w:val="continue"/>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Polymers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Products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(10,371)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Expenses, Excluding Deferred Compensation</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81,145</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 Expense (Income)</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1300" w:type="dxa"/>
            <w:vAlign w:val="bottom"/>
            <w:shd w:val="clear" w:color="auto" w:fill="CFF0FC"/>
          </w:tcPr>
          <w:p>
            <w:pPr>
              <w:spacing w:after="0" w:line="20" w:lineRule="exact"/>
              <w:rPr>
                <w:sz w:val="1"/>
                <w:szCs w:val="1"/>
                <w:color w:val="auto"/>
              </w:rPr>
            </w:pPr>
          </w:p>
        </w:tc>
        <w:tc>
          <w:tcPr>
            <w:tcW w:w="3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(49,622)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(77,910)</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-170815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Surfactants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Surfactant net sales for the first quarter of 2026 increased $23.4 million versus net sales for the first quarter of 2025. Higher average selling prices favorably impacted the change in net sales by $9.5 million. The higher average selling prices were mainly attributable to the pass through of higher raw material costs and a more favorable product mix. Sales volume declined two percent and had a $6.7 million unfavorable impact on the change in net sales. Organic net sales increased eight percent year-over-year and organic sales volume increased two percent year-over-year. Foreign currency translation had a $20.6 million favorable impact on the year-over-year change in net sales. A comparison of net sales by region follows:</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Pr>
          <w:p>
            <w:pPr>
              <w:spacing w:after="0"/>
              <w:rPr>
                <w:sz w:val="13"/>
                <w:szCs w:val="13"/>
                <w:color w:val="auto"/>
              </w:rPr>
            </w:pPr>
          </w:p>
        </w:tc>
        <w:tc>
          <w:tcPr>
            <w:tcW w:w="2260" w:type="dxa"/>
            <w:vAlign w:val="bottom"/>
            <w:gridSpan w:val="6"/>
          </w:tcPr>
          <w:p>
            <w:pPr>
              <w:ind w:left="320"/>
              <w:spacing w:after="0"/>
              <w:rPr>
                <w:sz w:val="20"/>
                <w:szCs w:val="20"/>
                <w:color w:val="auto"/>
              </w:rPr>
            </w:pPr>
            <w:r>
              <w:rPr>
                <w:rFonts w:ascii="Times New Roman" w:cs="Times New Roman" w:eastAsia="Times New Roman" w:hAnsi="Times New Roman"/>
                <w:sz w:val="14"/>
                <w:szCs w:val="14"/>
                <w:color w:val="auto"/>
              </w:rPr>
              <w:t>For the Three Months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20" w:type="dxa"/>
            <w:vAlign w:val="bottom"/>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Increase</w:t>
            </w: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19"/>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spacing w:after="0"/>
              <w:rPr>
                <w:sz w:val="10"/>
                <w:szCs w:val="10"/>
                <w:color w:val="auto"/>
              </w:rPr>
            </w:pPr>
          </w:p>
        </w:tc>
        <w:tc>
          <w:tcPr>
            <w:tcW w:w="94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1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360"/>
              <w:spacing w:after="0" w:line="125" w:lineRule="exact"/>
              <w:rPr>
                <w:sz w:val="20"/>
                <w:szCs w:val="20"/>
                <w:color w:val="auto"/>
              </w:rPr>
            </w:pPr>
            <w:r>
              <w:rPr>
                <w:rFonts w:ascii="Times New Roman" w:cs="Times New Roman" w:eastAsia="Times New Roman" w:hAnsi="Times New Roman"/>
                <w:sz w:val="14"/>
                <w:szCs w:val="14"/>
                <w:color w:val="auto"/>
              </w:rPr>
              <w:t>(Decrease)</w:t>
            </w:r>
          </w:p>
        </w:tc>
        <w:tc>
          <w:tcPr>
            <w:tcW w:w="1180" w:type="dxa"/>
            <w:vAlign w:val="bottom"/>
            <w:gridSpan w:val="2"/>
          </w:tcPr>
          <w:p>
            <w:pPr>
              <w:jc w:val="right"/>
              <w:ind w:right="420"/>
              <w:spacing w:after="0" w:line="125" w:lineRule="exact"/>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259,095</w:t>
            </w:r>
          </w:p>
        </w:tc>
        <w:tc>
          <w:tcPr>
            <w:tcW w:w="440" w:type="dxa"/>
            <w:vAlign w:val="bottom"/>
            <w:gridSpan w:val="2"/>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251,735</w:t>
            </w:r>
          </w:p>
        </w:tc>
        <w:tc>
          <w:tcPr>
            <w:tcW w:w="2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7,360</w:t>
            </w:r>
          </w:p>
        </w:tc>
        <w:tc>
          <w:tcPr>
            <w:tcW w:w="11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12,563</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96,610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82,764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13,846</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(10,419)</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Surfactants Segment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453,687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430,337</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23,350</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80" w:type="dxa"/>
            <w:vAlign w:val="bottom"/>
            <w:tcBorders>
              <w:top w:val="single" w:sz="8" w:color="CFF0FC"/>
            </w:tcBorders>
            <w:shd w:val="clear" w:color="auto" w:fill="CFF0FC"/>
          </w:tcPr>
          <w:p>
            <w:pPr>
              <w:spacing w:after="0" w:line="20" w:lineRule="exact"/>
              <w:rPr>
                <w:sz w:val="1"/>
                <w:szCs w:val="1"/>
                <w:color w:val="auto"/>
              </w:rPr>
            </w:pPr>
          </w:p>
        </w:tc>
        <w:tc>
          <w:tcPr>
            <w:tcW w:w="44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596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03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Net sales for North American operations increased $7.4 million, or three percent, year-over-year. Higher average selling prices had a $5.6 million favorable impact on the change in net sales and were primarily due to the pass-through of higher raw material costs and more favorable product mix. Sales volume increased one percent and positively impacted the change in net sales by $1.4 million. The higher sales volume was primarily due to higher demand for products sold into the industrial cleaning, crop productivity and oilfield end markets that was largely offset by lower demand for products sold into the commodity laundry and cleaning end markets. Foreign currency translation favorably impacted the change in net sales by $0.4 million.</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Net sales for European operations increased $12.6 million, or 15 percent, primarily due to the favorable impact of foreign currency translation, a four percent increase in sales volume and higher average selling prices. These items positively impacted the change in net sales by $8.7 million, $3.4 million and $0.5 million, respectively. A weaker U.S. dollar relative to the European euro and British pound sterling led to the favorable foreign currency translation effect. The higher sales volume was primarily due to the higher demand for products sold into the crop productivity and commodity laundry and cleaning end markets, partially offset by lower demand for products sold to our distribution partners. The higher average selling prices were primarily due to the pass-through of higher raw material costs.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Net sales for Latin American operations increased $13.8 million, or 17 percent, primarily due to the favorable impact of foreign currency translation and a five percent increase in sales volume. These items positively impacted the change in net sales by $11.5 million and $4.1 million, respectively. A weaker U.S. dollar relative to all currencies within the region led to the favorable foreign currency translation effect. The increase in sales volume was primarily due to higher demand for products sold into the industrial cleaning end markets and to our distribution partners. Lower average selling prices negatively impacted the change in net sales by $1.8 million.</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Net sales for Asian operations decreased $10.4 million, or 73 percent, versus the prior year quarter. An 85 percent decrease in sales volume negatively impacted the year-over-year change in net sales by $12.1 million. The lower sales volume was mainly due to the divestiture of assets in the Philippines during the fourth quarter of 2025 combined with delays in receiving an export permit after site divestment. Higher average selling prices positively impacted the change in net sales by $1.7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4" w:name="page25"/>
    <w:bookmarkEnd w:id="24"/>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Surfactant operating income for the first quarter of 2026 decreased $10.4 million, or 36 percent, versus operating income for the first quarter of 2025. Gross profit decreased $10.0 million, or 19 percent, and operating expenses increased $0.4 million, or two percent. Comparisons of gross profit by region and total segment operating expenses and operating income follow:</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13"/>
                <w:szCs w:val="13"/>
                <w:color w:val="auto"/>
              </w:rPr>
            </w:pPr>
          </w:p>
        </w:tc>
        <w:tc>
          <w:tcPr>
            <w:tcW w:w="204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color w:val="auto"/>
              </w:rPr>
              <w:t>For the Three Months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4"/>
                <w:szCs w:val="14"/>
                <w:color w:val="auto"/>
              </w:rPr>
              <w:t>Ended March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Increase</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19"/>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Gross Profit and Operating Income</w:t>
            </w:r>
          </w:p>
        </w:tc>
        <w:tc>
          <w:tcPr>
            <w:tcW w:w="220" w:type="dxa"/>
            <w:vAlign w:val="bottom"/>
          </w:tcPr>
          <w:p>
            <w:pPr>
              <w:spacing w:after="0"/>
              <w:rPr>
                <w:sz w:val="10"/>
                <w:szCs w:val="10"/>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400"/>
              <w:spacing w:after="0" w:line="125" w:lineRule="exact"/>
              <w:rPr>
                <w:sz w:val="20"/>
                <w:szCs w:val="20"/>
                <w:color w:val="auto"/>
              </w:rPr>
            </w:pPr>
            <w:r>
              <w:rPr>
                <w:rFonts w:ascii="Times New Roman" w:cs="Times New Roman" w:eastAsia="Times New Roman" w:hAnsi="Times New Roman"/>
                <w:sz w:val="14"/>
                <w:szCs w:val="14"/>
                <w:color w:val="auto"/>
              </w:rPr>
              <w:t>(Decrease)</w:t>
            </w:r>
          </w:p>
        </w:tc>
        <w:tc>
          <w:tcPr>
            <w:tcW w:w="1180" w:type="dxa"/>
            <w:vAlign w:val="bottom"/>
            <w:gridSpan w:val="2"/>
          </w:tcPr>
          <w:p>
            <w:pPr>
              <w:ind w:left="320"/>
              <w:spacing w:after="0" w:line="125" w:lineRule="exact"/>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0"/>
        </w:trPr>
        <w:tc>
          <w:tcPr>
            <w:tcW w:w="25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7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20" w:type="dxa"/>
            <w:vAlign w:val="bottom"/>
            <w:vMerge w:val="continue"/>
          </w:tcPr>
          <w:p>
            <w:pPr>
              <w:spacing w:after="0"/>
              <w:rPr>
                <w:sz w:val="17"/>
                <w:szCs w:val="17"/>
                <w:color w:val="auto"/>
              </w:rPr>
            </w:pPr>
          </w:p>
        </w:tc>
        <w:tc>
          <w:tcPr>
            <w:tcW w:w="2720" w:type="dxa"/>
            <w:vAlign w:val="bottom"/>
            <w:vMerge w:val="continue"/>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23,882</w:t>
            </w:r>
          </w:p>
        </w:tc>
        <w:tc>
          <w:tcPr>
            <w:tcW w:w="22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26,351</w:t>
            </w:r>
          </w:p>
        </w:tc>
        <w:tc>
          <w:tcPr>
            <w:tcW w:w="22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(2,469)</w:t>
            </w:r>
          </w:p>
        </w:tc>
        <w:tc>
          <w:tcPr>
            <w:tcW w:w="200" w:type="dxa"/>
            <w:vAlign w:val="bottom"/>
            <w:vMerge w:val="continue"/>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(5,451)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Surfactants Segment Gross Profit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43,670</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25,122</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24,741</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Surfactants Segment Operating Income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(10,382)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-453390</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-453390</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-453390</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Gross profit for North American operations decreased $2.5 million, or nine percent, versus the prior year primarily due to lower average unit margins. The lower average unit margins negatively impacted the change in gross profit by $2.6 million and were primarily attributable to the severe cold weather impact during the first quarter of 2025 and higher oleochemicals raw material costs. A one percent increase in sales volume positively impacted the year-over-year change in gross profit by $0.1 million.</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Gross profit for European operations increased $0.7 million, or seven percent, primarily due to the favorable impact of foreign currency translation and a four percent increase in sales volume. These items positively impacted the year-over-year change in gross profit by $1.1 million and $0.4 million, respectively. Lower average unit margins negatively impacted the year-over-year change in gross profit by $0.8 million and primarily reflect less favorable product mix.</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Gross profit for Latin American operations decreased $2.8 million, or 24 percent. Lower average unit margins negatively impacted the year-over-year change in gross profit by $4.3 million. The lower average unit margins largely reflect increased competitive pressures in Mexico. The favorable impact of foreign currency translation and a five percent increase in sales volume positively impacted the change in gross profit by $0.9 million and $0.6 million, respectively.</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Gross profit for Asia operations decreased $5.5 million year-over-year primarily due to a double digit decrease in sales volume resulting from the asset divestiture in the Philippines during the fourth quarter of 2025. Sales volume was down eight percent excluding the impact of the asset divestiture in the Philippines. The decline in sales volume negatively impacted the year-over-year change in gross profit by $4.2 million. Lower average unit margins negatively impacted the change in gross profit by $1.3 million and reflect higher overhead expenses resulting from production timing differences at the Singapore site.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expenses for the Surfactants segment increased $0.4 million, or two percent, in the first quarter of 2026 versus the first quarter of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Polymers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Polymers net sales for the first quarter of 2026 decreased $16.1 million, or 11 percent, versus net sales for the same period of 2025. Lower average selling prices and a six percent decrease in sales volume negatively impacted the change in net sales by $11.1 million and $9.4 million, respectively. Foreign currency translation positively impacted the year-over-year change in net sales by $4.4 million. A comparison of net sales by region follows: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13"/>
                <w:szCs w:val="13"/>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color w:val="auto"/>
              </w:rPr>
              <w:t>For the Three Months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Ended March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19"/>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78"/>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(Decrease)</w:t>
            </w: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2"/>
          </w:tcPr>
          <w:p>
            <w:pPr>
              <w:ind w:left="320"/>
              <w:spacing w:after="0" w:line="125" w:lineRule="exact"/>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71,802</w:t>
            </w:r>
          </w:p>
        </w:tc>
        <w:tc>
          <w:tcPr>
            <w:tcW w:w="440" w:type="dxa"/>
            <w:vAlign w:val="bottom"/>
            <w:gridSpan w:val="2"/>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72,793</w:t>
            </w:r>
          </w:p>
        </w:tc>
        <w:tc>
          <w:tcPr>
            <w:tcW w:w="2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1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(13,608)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and Other</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(1,488)</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80" w:type="dxa"/>
            <w:vAlign w:val="bottom"/>
            <w:shd w:val="clear" w:color="auto" w:fill="CFF0FC"/>
          </w:tcPr>
          <w:p>
            <w:pPr>
              <w:spacing w:after="0" w:line="20" w:lineRule="exact"/>
              <w:rPr>
                <w:sz w:val="1"/>
                <w:szCs w:val="1"/>
                <w:color w:val="auto"/>
              </w:rPr>
            </w:pPr>
          </w:p>
        </w:tc>
        <w:tc>
          <w:tcPr>
            <w:tcW w:w="4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Polymers Segment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130,029</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146,116</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(16,087)</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-170815</wp:posOffset>
            </wp:positionV>
            <wp:extent cx="5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Net sales for North American operations decreased $1.0 million, or one percent, year-over-year. Lower average selling prices negatively impacted the change in net sales by $4.5 million. The lower average selling prices were mostly due to pass-through of lower raw material costs. Sales volume increased five percent and positively impacted the year-over-year change in net sales by $3.5 million. Sales volume of polyols used in rigid foam applications and within the commodity phthalic anhydride business increased six percent and nine percent,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Net sales for European operations decreased $13.6 million, or 22 percent, year-over-year. A 19 percent decrease in sales volume and lower average selling prices negatively impacted the year-over-year change in net sales by $11.4 million and $6.1 million, respectively. The lower sales volume is due to lower construction demand related to the macroeconomic environment and economic uncertainties along with increased competitive activity. The lower average selling prices were primarily due to the pass-through of lower raw material costs and increased competitive activity. Foreign currency translation favorably impacted the change in net sales by $3.9 million. A weaker U.S. dollar relative to the Polish zloty and British pound sterling led to the favorable foreign currency translation effect.</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sales for Asia and Other operations decreased $1.5 million, or 12 percent, primarily due lower average selling prices and a three percent decrease in sales volume. These items negatively impacted the year-over-year change in net sales by $1.6 million and $0.4 million, respectively. Foreign currency translation positively impacted the year-over-year change in net sales by $0.5 million.</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Polymer operating income in the first quarter of 2026 increased $0.8 million, or 10 percent, versus operating income in the first quarter of 2025. Gross profit increased $0.8 million, or five percent, and operating expenses decreased less than $0.1 million, or one percent, year-over-year. Comparisons of gross profit by region and total segment operating expenses and operating income follow:</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13"/>
                <w:szCs w:val="13"/>
                <w:color w:val="auto"/>
              </w:rPr>
            </w:pPr>
          </w:p>
        </w:tc>
        <w:tc>
          <w:tcPr>
            <w:tcW w:w="214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color w:val="auto"/>
              </w:rPr>
              <w:t>For the Three Months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color w:val="auto"/>
              </w:rPr>
              <w:t>Ended March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Increase</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19"/>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Gross Profit and Operating Income</w:t>
            </w: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380"/>
              <w:spacing w:after="0" w:line="125" w:lineRule="exact"/>
              <w:rPr>
                <w:sz w:val="20"/>
                <w:szCs w:val="20"/>
                <w:color w:val="auto"/>
              </w:rPr>
            </w:pPr>
            <w:r>
              <w:rPr>
                <w:rFonts w:ascii="Times New Roman" w:cs="Times New Roman" w:eastAsia="Times New Roman" w:hAnsi="Times New Roman"/>
                <w:sz w:val="14"/>
                <w:szCs w:val="14"/>
                <w:color w:val="auto"/>
              </w:rPr>
              <w:t>(Decrease)</w:t>
            </w:r>
          </w:p>
        </w:tc>
        <w:tc>
          <w:tcPr>
            <w:tcW w:w="1180" w:type="dxa"/>
            <w:vAlign w:val="bottom"/>
            <w:gridSpan w:val="2"/>
          </w:tcPr>
          <w:p>
            <w:pPr>
              <w:ind w:left="320"/>
              <w:spacing w:after="0" w:line="125" w:lineRule="exact"/>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0"/>
        </w:trPr>
        <w:tc>
          <w:tcPr>
            <w:tcW w:w="25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7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2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9,651</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4,636</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5,015</w:t>
            </w:r>
          </w:p>
        </w:tc>
        <w:tc>
          <w:tcPr>
            <w:tcW w:w="200" w:type="dxa"/>
            <w:vAlign w:val="bottom"/>
            <w:vMerge w:val="continue"/>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7,982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(3,940)</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 and Other</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Polymers Segment Gross Profit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15,220</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764</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Polymers Segment Operating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804</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520" w:type="dxa"/>
            <w:vAlign w:val="bottom"/>
            <w:tcBorders>
              <w:top w:val="single" w:sz="8" w:color="CFF0FC"/>
            </w:tcBorders>
            <w:shd w:val="clear" w:color="auto" w:fill="CFF0FC"/>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-25400</wp:posOffset>
            </wp:positionV>
            <wp:extent cx="596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596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Gross profit for North American operations increased $5.0 million year-over-year. Higher average unit margins favorably impacted the change in gross profit by $4.8 million. The higher average unit margins largely reflect the non-recurrence of high cost inventory carryover incurred in the prior year quarter. A five percent increase in sales volume positively impacted the year-over-year change in gross profit by $0.2 million.</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Gross profit for European operations decreased $4.0 million, or 49 percent, versus the first quarter of 2025. This decrease was primarily due to lower average unit margins and a 19 percent decrease in sales volume. These items negatively impacted the year-over-year change in gross profit by $2.8 million and $1.5 million, respectively. Foreign currency translation positively impacted the change in gross profit by $0.3 million.</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Gross profit for Asia and Other operations decreased $0.3 million, or 12 percent, primarily due to lower average unit margins and a three percent decline in sales volume. These items negatively impacted the change in gross profit by $0.3 million and $0.1 million, respectively. Foreign currency translation positively impacted the change in gross profit by $0.1 million.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expenses for the Polymer segment decreased less than $0.1 million, or one percent, in the first quarter of 2026 versus the first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Specialty Products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Specialty Products net sales for the first quarter of 2026 increased $4.0 million, or 24 percent, versus net sales for the first quarter of 2025. The increase was primarily due to higher sales volume. Gross profit and operating income decreased $0.8 million each year-over-year. The year-over-year decreases in gross profit and operating income were primarily due to product mix and lower margins within the medium chain triglycerides (MCT) product line due to higher raw material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Corporate expenses, which include business restructuring, deferred compensation and other operating expenses that are not allocated to the reportable segments, increased $67.5 million year-over-year. Corporate expenses were $81.7 million in the first quarter of 2026 versus $14.2 million in the first quarter of 2025. This increase was primarily due to a $65.4 million restructuring charge recognized in the first quarter of 2026 and $1.6 million of higher year-over-year deferred compensation expense. See Note 16, </w:t>
      </w:r>
      <w:r>
        <w:rPr>
          <w:rFonts w:ascii="Times New Roman" w:cs="Times New Roman" w:eastAsia="Times New Roman" w:hAnsi="Times New Roman"/>
          <w:sz w:val="18"/>
          <w:szCs w:val="18"/>
          <w:i w:val="1"/>
          <w:iCs w:val="1"/>
          <w:color w:val="auto"/>
        </w:rPr>
        <w:t>Business Restructuring,</w:t>
      </w:r>
      <w:r>
        <w:rPr>
          <w:rFonts w:ascii="Times New Roman" w:cs="Times New Roman" w:eastAsia="Times New Roman" w:hAnsi="Times New Roman"/>
          <w:sz w:val="18"/>
          <w:szCs w:val="18"/>
          <w:color w:val="auto"/>
        </w:rPr>
        <w:t xml:space="preserve"> of the notes to the Company's consolidated financial statements for more details regarding the restructuring charge.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$1.6 million increase in deferred compensation expense was primarily due to a $2.62 per share increase in the market price of the Company's common stock in the first quarter of 2026 versus a $9.66 per share decrease in the first quarter of 2025.</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quarter-end Company common stock market prices used in the computation of deferred compensation income/expense for the three months ended March 31, 2026 and 2025:</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2025</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r>
      <w:tr>
        <w:trPr>
          <w:trHeight w:val="142"/>
        </w:trPr>
        <w:tc>
          <w:tcPr>
            <w:tcW w:w="5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4"/>
                <w:szCs w:val="14"/>
                <w:color w:val="auto"/>
              </w:rPr>
              <w:t>March 31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color w:val="auto"/>
              </w:rPr>
              <w:t>December 31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color w:val="auto"/>
              </w:rPr>
              <w:t>March 31</w:t>
            </w:r>
          </w:p>
        </w:tc>
        <w:tc>
          <w:tcPr>
            <w:tcW w:w="220" w:type="dxa"/>
            <w:vAlign w:val="bottom"/>
          </w:tcPr>
          <w:p>
            <w:pPr>
              <w:spacing w:after="0"/>
              <w:rPr>
                <w:sz w:val="12"/>
                <w:szCs w:val="12"/>
                <w:color w:val="auto"/>
              </w:rPr>
            </w:pPr>
          </w:p>
        </w:tc>
        <w:tc>
          <w:tcPr>
            <w:tcW w:w="9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December 31</w:t>
            </w:r>
          </w:p>
        </w:tc>
        <w:tc>
          <w:tcPr>
            <w:tcW w:w="100" w:type="dxa"/>
            <w:vAlign w:val="bottom"/>
          </w:tcPr>
          <w:p>
            <w:pPr>
              <w:spacing w:after="0"/>
              <w:rPr>
                <w:sz w:val="12"/>
                <w:szCs w:val="12"/>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Company Common Stock Price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shd w:val="clear" w:color="auto" w:fill="CFF0FC"/>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operating activities were a cash source of $16.9 million versus a cash source of $6.9 million for the comparable period in 2025. For the first three months of 2026, investing cash outflows totaled $22.9 million versus cash outflows of $26.4 million in the prior year period. Financing activities were a cash source of $13.6 million versus a cash source of $22.8 million in the prior year period.</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Cash and cash equivalents increased $8.1 million compared to December 31, 2025, inclusive of a $0.5 million favorable foreign exchange rate impact. On March 31, 2026, the Company's cash and cash equivalents totaled $140.8 million. Cash in non-U.S. money market funds, which were rated AAAm by Standard and Poor’s, Aaa-mf by Moody’s and AAAmmf by Fitch, totaled $18.5 million and cash in U.S. demand deposit accounts totaled $1.5 million. The Company’s non-U.S. subsidiaries held $120.8 million of cash and cash equivalents as of March 31,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during the first three months of 2026 decreased $61.1 million versus the comparable period in 2025. Working capital was a cash use of $29.5 million during the first three months of 2026 versus a cash use of $40.9 million in the comparable period in 2025.</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Accounts receivable were a cash use of $46.2 million during the first three months of 2026 compared to a cash use of $40.3 million for the comparable period in 2025. Inventories were a cash source of $10.6 million in 2026 versus a cash use of $16.9 million in 2025. Accounts payable and accrued liabilities were a cash source of $10.2 million in 2026 compared to a cash source of $27.4 million for the same period in 2025.</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Working capital requirements were lower in the first three months of 2026 compared to 2025 primarily due to the changes noted above. The change in accounts receivable working capital primarily reflects higher selling prices due to the pass through of higher raw material costs and an uptick in year-over-year sales volume during the latter part of the first quarter of 2026. The change in inventories primarily reflects the Company's ongoing efforts to reduce inventory levels. It is management’s opinion that the Company’s liquidity is sufficient to provide for potential increases in working capital requirements during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for investing activities decreased $3.5 million year-over-year primarily due to lower capital expenditures in the first three months of 2026 versus the same period of 2025.</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2026, the Company estimates that total capital expenditures will be in the range of $105.0 million to $115.0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flow from financing activities was a source of $13.6 million in 2026 versus a source of $22.8 million in 2025. The year-over-year change was primarily due to scheduled principal repayments during the first quarter of 2026.</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purchases shares of its common stock in the open market or from its benefit plans from time to time to fund its own benefit plans and to mitigate the dilutive effect of new shares issued under its compensation plans. The Company may, from time to time, seek to purchase additional amounts of its outstanding equity and/or retire debt securities through cash purchases and/or exchanges for other securities, in open market purchases, privately negotiated transactions or otherwise, including pursuant to plans meeting the requirements of Rule 10b5-1 promulgated by the SEC. Such repurchases or exchanges, if any, will depend on prevailing market conditions, the Company’s liquidity requirements, contractual restrictions and other factors. The amounts involved may be material. The Company did not purchase any shares of its common stock on the open market during the three months ended March 31, 2026. At March 31, 2026, the Company had $125.1 million remaining under the share repurchase program authorized by its Board of Directors.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Debt and Credit Facilities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balance sheet debt increased $25.0 million, from $626.7 million on December 31, 2025 to $651.7 million on March 31, 2026, primarily due to higher domestic borrowings from the Company's revolving credit facility. Net debt (which is defined as total debt minus cash – see the “Reconciliation of Non-GAAP Net Debt” section of this MD&amp;A) was $510.9 million on March 31, 2026 versus $494.0 million at December 31, 2025.</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March 31, 2026, the ratio of net debt to net debt plus shareholders’ equity was 30.0 percent versus 28.0 percent at December 31, 2025 (see the “Reconciliation of Non-GAAP Net Debt” section in this MD&amp;A for further details). On March 31, 2026, the Company’s debt included $313.3 million of unsecured notes, with maturities ranging from 2026 through 2033, that were issued to insurance companies in private placement transactions pursuant to note purchase agreements (the “Note Purchase Agreements”), a $81.9 million delayed-draw term loan borrowed pursuant to the Company’s credit agreement, $256.5 million of short-term loans borrowed under the Company’s revolving credit facility and no foreign credit line borrowings. As of March 31, 2026, the Company had outstanding letters of credit of $13.6 million, inclusive of $4.9 million issued under the Company’s revolving credit facility. The proceeds from the note issuances have been the Company’s primary source of long-term debt financing and are supplemented by borrowings under bank credit facilities to meet short and medium-term liquidity needs.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credit agreement (the Credit Agreement) with a syndicate of banks provides for credit facilities in an initial aggregate principal amount of $450.0 million, consisting of (a) a $350.0 million multi-currency revolving credit facility and (b) a $100.0 million delayed draw term loan credit facility ($18.1 million of the term loan principal has been permanently repaid as scheduled), each of which matures on June 24, 2027. The Company's credit agreement with Credit Industriel et Commercial NY (the CIC Credit Agreement) provides for a credit facility in an aggregate principal amount of $8.7 million. The facility is for the sole purpose of the issuance of standby letters of credit. As of March 31, 2026, the Company had outstanding letters of credit totaling $8.7 million under the CIC Credit Agreement. The Company also maintains import and export letters of credit and standby letters of credit under its workers’ compensation insurance agreements and for other purposes, as needed from time to time, which are issued under the Credit Agreement. These outstanding letters of credit totaled $4.9 million at March 31, 2026.</w:t>
      </w:r>
    </w:p>
    <w:p>
      <w:pPr>
        <w:spacing w:after="0" w:line="12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anticipates that cash from operations, committed credit facilities and cash on hand will be sufficient to fund anticipated capital expenditures, working capital, dividends and other planned financial commitments for the foreseeable future.</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Certain foreign subsidiaries of the Company maintain short-term bank lines of credit in their respective local currencies to meet working capital requirements as well as to fund capital expenditures and acquisitions. At March 31, 2026, the Company’s foreign subsidiaries had no outstanding debt.</w:t>
      </w:r>
    </w:p>
    <w:p>
      <w:pPr>
        <w:spacing w:after="0" w:line="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covenants under its material debt agreements that require the maintenance of minimum interest coverage and minimum net worth. These debt covenants also limit the incurrence of additional debt as well as the payment of dividends and repurchase of shares. Under the most restrictive of these debt covenants:</w:t>
      </w:r>
    </w:p>
    <w:p>
      <w:pPr>
        <w:spacing w:after="0" w:line="81" w:lineRule="exact"/>
        <w:rPr>
          <w:sz w:val="20"/>
          <w:szCs w:val="20"/>
          <w:color w:val="auto"/>
        </w:rPr>
      </w:pPr>
    </w:p>
    <w:p>
      <w:pPr>
        <w:ind w:left="1020" w:right="1360" w:hanging="337"/>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a minimum interest coverage ratio, as defined within the agreements, of 3.50 to 1.00, for the preceding four calendar quarters.</w:t>
      </w:r>
    </w:p>
    <w:p>
      <w:pPr>
        <w:spacing w:after="0" w:line="80" w:lineRule="exact"/>
        <w:rPr>
          <w:rFonts w:ascii="Times New Roman" w:cs="Times New Roman" w:eastAsia="Times New Roman" w:hAnsi="Times New Roman"/>
          <w:sz w:val="18"/>
          <w:szCs w:val="18"/>
          <w:color w:val="auto"/>
        </w:rPr>
      </w:pPr>
    </w:p>
    <w:p>
      <w:pPr>
        <w:ind w:left="1020" w:right="1360" w:hanging="337"/>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an existing maximum net leverage ratio, as defined within the agreements, not to exceed 3.50 to 1.00.</w:t>
      </w:r>
    </w:p>
    <w:p>
      <w:pPr>
        <w:spacing w:after="0" w:line="67" w:lineRule="exact"/>
        <w:rPr>
          <w:rFonts w:ascii="Times New Roman" w:cs="Times New Roman" w:eastAsia="Times New Roman" w:hAnsi="Times New Roman"/>
          <w:sz w:val="18"/>
          <w:szCs w:val="18"/>
          <w:color w:val="auto"/>
        </w:rPr>
      </w:pPr>
    </w:p>
    <w:p>
      <w:pPr>
        <w:ind w:left="1020" w:hanging="337"/>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net worth of at least $750.0 million.</w:t>
      </w:r>
    </w:p>
    <w:p>
      <w:pPr>
        <w:spacing w:after="0" w:line="130" w:lineRule="exact"/>
        <w:rPr>
          <w:rFonts w:ascii="Times New Roman" w:cs="Times New Roman" w:eastAsia="Times New Roman" w:hAnsi="Times New Roman"/>
          <w:sz w:val="18"/>
          <w:szCs w:val="18"/>
          <w:color w:val="auto"/>
        </w:rPr>
      </w:pPr>
    </w:p>
    <w:p>
      <w:pPr>
        <w:jc w:val="both"/>
        <w:ind w:left="1020" w:right="1360" w:hanging="337"/>
        <w:spacing w:after="0" w:line="25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permitted to pay dividends and purchase treasury shares after June 24, 2022, in amounts of up to $100.0 million plus 100 percent of net income and cash proceeds of stock option exercises, measured cumulatively beginning January 1, 2022. The maximum amount of dividends that could have been paid within this limitation is disclosed as unrestricted retained earnings in Note 14,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the Company’s condensed consolidated financial statements (included in Item 1 of this Form 10-Q).</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believes it was in compliance with the covenants under its material debt agreements as of March 31, 2026.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ENVIRONMENTAL AND LEGAL MATTERS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extensive federal, state and local environmental laws and regulations and similar laws in the other countries in which the Company does business. Although the Company's environmental policies and practices are designed to ensure compliance with these laws and regulations, future developments and increasingly stringent environmental regulation may require the Company to make additional unforeseen environmental expenditures. The Company will continue to invest in the equipment and facilities necessary to comply with existing and future regulations. During the first three months of 2026 and 2025, the Company’s expenditures for capital projects related to environmental matters were $0.6 million and $2.4 million,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These projects are capitalized and depreciated over their estimated useful lives, which are typically 10 years. Recurring costs associated with the operation and maintenance of facilities for waste treatment and disposal and managing environmental compliance in ongoing operations at the Company’s manufacturing locations were $11.1 million and $10.0 million for the three months ended March 31, 2026 and 2025, respectively.</w:t>
      </w:r>
    </w:p>
    <w:p>
      <w:pPr>
        <w:spacing w:after="0" w:line="6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Over the years, the Company has received requests for information related to or has been named by the government as a potentially responsible party at a number of waste disposal sites where cleanup costs have been or may be incurred under CERCLA and similar state or foreign statutes. In addition, the Company is from time to time involved in routine legal proceedings incidental to the conduct of its business, including personal injury, property damage, tax, trade and labor matters. The Company believes that it has made adequate provisions for the costs it is likely to incur with respect to these claims. It is the Company’s accounting policy to record liabilities when environmental assessments, remediation expenses or legal proceeding losses are probable, and the cost or range of possible costs can be reasonably estimated. When no amount within the range is a better estimate than any other amount, the minimum is accrued. Estimating the possible costs of environmental remediation requires making assumptions related to the nature and extent of contamination and the methods and resulting costs of remediation. Some of the factors on which the Company bases its estimates include information provided by decisions rendered by State and Federal environmental regulatory agencies, information provided by feasibility studies, and remedial action plans developed. After partial remediation payments at certain sites, the Company has estimated a range of possible environmental and legal losses of $19.8 million to $46.4 million at March 31, 2026 and $19.3 million to $46.0 million at December 31, 2025. Within the range of possible environmental and legal losses, management has currently concluded that no single amount is more likely to occur than any other amounts in the range and, thus, has accrued at the lower end of the range. The Company's environmental and legal accruals totaled $19.8 million at March 31, 2026 and $19.3 million at December 31, 2025. Because the liabilities accrued are estimates, actual amounts could differ materially from the amounts reported. Cash expenditures related to environmental remediation and certain other legal matters approximated $0.3 million for the three months ended March 31, 2026, compared to $2.6 million for the same period in 2025.</w:t>
      </w:r>
    </w:p>
    <w:p>
      <w:pPr>
        <w:spacing w:after="0" w:line="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For certain sites, the Company has responded to information requests made by federal, state or local government agencies but has received no response confirming or denying the Company’s stated positions. As such, estimates of the total costs, or range of possible costs, of remediation, if any, or the Company’s share of such costs, if any, cannot be determined with respect to these sites. Consequently, the Company is unable to predict the effect thereof on the Company’s financial position, cash flows and results of operations. Based on the Company’s present knowledge with respect to its involvement at these sites, the possibility of other viable entities’ responsibilities for cleanup, and the extended period over which any costs would be incurred, management believes that the Company has no material liability at these sites and that these matters, individually and in the aggregate, will not have a material effect on the Company’s financial position. Certain of these matters are discussed in Item 1, Part 2, of the Company’s Annual Report on Form 10-K, Legal Proceedings, in this report and in other filings of the Company with the SEC, which are available upon request from the Company. See also Note 8,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in the notes to the Company’s condensed consolidated financial statements (included in Item 1 of this Form 10-Q) for a summary of the significant environmental proceedings related to certain sites.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critical accounting policies disclosed in the Company’s 2025 Annual Report on Form 10-K.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NON-GAAP RECONCILIATIONS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believes that certain non-GAAP measures, when presented in conjunction with comparable GAAP measures, are useful for evaluating the Company’s performance and financial condition. Internally, the Company uses this non-GAAP information as an indicator of business performance and evaluates management’s effectiveness with specific reference to these indicators. Management uses these non-GAAP financial measures to assist in analyzing what management views as the Company’s core operating performance for purposes of business decision making. Management believes that presenting these non-GAAP financial measures provides investors with useful supplemental information because they (i) provide meaningful supplemental information regarding financial performance by excluding items affecting comparability between periods, (ii) permit investors to view performance using the same tools that management uses to budget, make operating and strategic decisions and evaluate the Company’s core operating performance across periods, and (iii) otherwise provide supplemental information that may be useful to investors in evaluating the Company’s financial results. In addition, the Company believes that the presentation of these non-GAAP financial measures, when considered together with the most directly comparable GAAP financial measures and the reconciliations to those GAAP financial measures, provides investors with additional tools to understand the factors and trends affecting the Company’s underlying business than could be obtained absent these disclosures. These measures should be considered in addition to, not as substitutes for or superior to, measures of financial performance prepared in accordance with GAAP and there are limitations to using non-GAAP financial measures. For example, the non-GAAP financial measures presented in this Form 10-Q</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may differ from similarly titled non-GAAP financial measures presented by other companies and other companies may not define these non-GAAP financial measures the same way as the Company does.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Reconciliations of Non-GAAP Adjusted Net Income and Diluted Earnings per Share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uses the non-GAAP adjusted net income metric to evaluate the Company’s operating performance. Management excludes the items listed in the table below because they are non-operational items. The cumulative tax effect is typically calculated using the statutory tax rates for the jurisdictions in which the transactions occurred.</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5"/>
          </w:tcPr>
          <w:p>
            <w:pPr>
              <w:jc w:val="right"/>
              <w:ind w:right="594"/>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5"/>
          </w:tcPr>
          <w:p>
            <w:pPr>
              <w:jc w:val="right"/>
              <w:ind w:right="592"/>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ind w:right="340"/>
              <w:spacing w:after="0" w:line="119"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Diluted EPS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ind w:right="340"/>
              <w:spacing w:after="0" w:line="119"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Diluted EPS</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2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1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(41.4)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0.86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Deferred Compensation (Income)/Expense (including</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investment activity)</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Remediation Expense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Restructuring</w:t>
            </w: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Pre-tax Adjustments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Cumulative Tax Effect on Above Adjustment Items</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-454025</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-454025</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-454025</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-454025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Reconciliations of Non-GAAP EBITDA and Adjusted EBITDA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uses the non-GAAP EBITDA and adjusted EBITDA metric to evaluate the Company's operating performance. Management excludes the items listed in the table below because they are non-operational items. Refer to the Company's Condensed Consolidated Statements of Income for a bridge between Operating Income and Net Income.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For the Three Months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color w:val="auto"/>
              </w:rPr>
              <w:t>Ended March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3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 Income</w:t>
            </w:r>
          </w:p>
        </w:tc>
        <w:tc>
          <w:tcPr>
            <w:tcW w:w="3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356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620" w:type="dxa"/>
            <w:vAlign w:val="bottom"/>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 Income</w:t>
            </w: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Environmental Remediation</w:t>
            </w:r>
          </w:p>
        </w:tc>
        <w:tc>
          <w:tcPr>
            <w:tcW w:w="3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Restructuring</w:t>
            </w:r>
          </w:p>
        </w:tc>
        <w:tc>
          <w:tcPr>
            <w:tcW w:w="3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56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3700" w:type="dxa"/>
            <w:vAlign w:val="bottom"/>
            <w:tcBorders>
              <w:top w:val="single" w:sz="8" w:color="CFF0FC"/>
            </w:tcBorders>
          </w:tcPr>
          <w:p>
            <w:pPr>
              <w:spacing w:after="0"/>
              <w:rPr>
                <w:sz w:val="24"/>
                <w:szCs w:val="24"/>
                <w:color w:val="auto"/>
              </w:rPr>
            </w:pPr>
          </w:p>
        </w:tc>
        <w:tc>
          <w:tcPr>
            <w:tcW w:w="3240" w:type="dxa"/>
            <w:vAlign w:val="bottom"/>
            <w:tcBorders>
              <w:top w:val="single" w:sz="8" w:color="CFF0FC"/>
            </w:tcBorders>
          </w:tcPr>
          <w:p>
            <w:pPr>
              <w:jc w:val="right"/>
              <w:ind w:right="171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-933450</wp:posOffset>
            </wp:positionV>
            <wp:extent cx="59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-916940</wp:posOffset>
            </wp:positionV>
            <wp:extent cx="596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-916940</wp:posOffset>
            </wp:positionV>
            <wp:extent cx="603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Reconciliations of Non-GAAP Net Debt</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uses the non-GAAP net debt metric to show a more complete picture of the Company’s overall liquidity, financial flexibility and leverage level.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March 31,</w:t>
            </w:r>
          </w:p>
        </w:tc>
        <w:tc>
          <w:tcPr>
            <w:tcW w:w="200" w:type="dxa"/>
            <w:vAlign w:val="bottom"/>
          </w:tcPr>
          <w:p>
            <w:pPr>
              <w:spacing w:after="0"/>
              <w:rPr>
                <w:sz w:val="13"/>
                <w:szCs w:val="13"/>
                <w:color w:val="auto"/>
              </w:rPr>
            </w:pP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58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Maturities of Long-Term Debt as Reported</w:t>
            </w:r>
          </w:p>
        </w:tc>
        <w:tc>
          <w:tcPr>
            <w:tcW w:w="2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as Reported</w:t>
            </w:r>
          </w:p>
        </w:tc>
        <w:tc>
          <w:tcPr>
            <w:tcW w:w="2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as Reported</w:t>
            </w:r>
          </w:p>
        </w:tc>
        <w:tc>
          <w:tcPr>
            <w:tcW w:w="2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Less Cash and Cash Equivalents as Reported</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(140.8)</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(132.7)</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Debt</w:t>
            </w:r>
          </w:p>
        </w:tc>
        <w:tc>
          <w:tcPr>
            <w:tcW w:w="2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Equity</w:t>
            </w:r>
          </w:p>
        </w:tc>
        <w:tc>
          <w:tcPr>
            <w:tcW w:w="27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1,193.0</w:t>
            </w:r>
          </w:p>
        </w:tc>
        <w:tc>
          <w:tcPr>
            <w:tcW w:w="34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1,244.0</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Debt plus Equity</w:t>
            </w:r>
          </w:p>
        </w:tc>
        <w:tc>
          <w:tcPr>
            <w:tcW w:w="2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1,738.0</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Debt/Net Debt plus Equity</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560" w:type="dxa"/>
            <w:vAlign w:val="bottom"/>
          </w:tcPr>
          <w:p>
            <w:pPr>
              <w:spacing w:after="0"/>
              <w:rPr>
                <w:sz w:val="20"/>
                <w:szCs w:val="20"/>
                <w:color w:val="auto"/>
              </w:rPr>
            </w:pPr>
          </w:p>
        </w:tc>
      </w:tr>
      <w:tr>
        <w:trPr>
          <w:trHeight w:val="630"/>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8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-1344930</wp:posOffset>
            </wp:positionV>
            <wp:extent cx="1111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-1328420</wp:posOffset>
            </wp:positionV>
            <wp:extent cx="1111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-1344930</wp:posOffset>
            </wp:positionV>
            <wp:extent cx="1117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-1328420</wp:posOffset>
            </wp:positionV>
            <wp:extent cx="1117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market risks described in the Company’s 2025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21"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117" w:lineRule="exact"/>
        <w:rPr>
          <w:rFonts w:ascii="Times New Roman" w:cs="Times New Roman" w:eastAsia="Times New Roman" w:hAnsi="Times New Roman"/>
          <w:sz w:val="18"/>
          <w:szCs w:val="18"/>
          <w:color w:val="auto"/>
        </w:rPr>
      </w:pPr>
    </w:p>
    <w:p>
      <w:pPr>
        <w:jc w:val="both"/>
        <w:ind w:left="10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conducted an evaluation of the effectiveness of the design and operation of our disclosure controls and procedures, as defined in Rules 13a-15(e) and 15d-15(e) under the Exchange Act, as of March 31, 2026. Based on this evaluation of our disclosure controls and procedures, our Chief Executive Officer and our Chief Financial Officer have concluded that our disclosure controls and procedures were effective as of March 31, 2026, such that the information required to be disclosed in our Securities and Exchange Commission reports is recorded, processed, summarized and reported within the time periods specified by the rules and forms of the Exchange Act and is accumulated and communicated to management, including our Chief Executive Officer and our Chief Financial Officer, as appropriate to allow timely decisions regarding required disclosures.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17"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changes in the Company’s internal controls over financial reporting (as defined in Rule 13a-15(f) under the Exchange Act) that occurred during the quarter ended March 31, 2026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 regulations require the Company to disclose certain information about administrative or judicial proceedings involving certain environmental matters to which a governmental authority is a party if the Company reasonably believes that such proceedings may result in monetary sanctions above a specified threshold. Pursuant to SEC regulations, the Company has adopted a threshold of $1.0 million for purposes of determining whether disclosure of any such proceedings is required. The Company believes that this threshold is reasonably designed to result in disclosure of any such proceedings that are material to its business or financial condition.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Developments in the Company's legal proceedings are described below:</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March 19, 2025, the Company received a pre-filing notice from USEPA for violations of the Federal Insecticide, Fungicide, and Rodenticide Act (FIFRA) associated with certain of the Company’s biocide products sold by a licensed distributor. USEPA assessed a civil penalty of $1.1 million, which the Company paid on July 2, 2025. As of March 31, 2026, the Company recovered the entire amount of the USEPA penalty from third parties.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other material changes to the legal proceedings disclosed in the Company’s 2025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Company’s 2025 Annual Report on Form 10-K.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by month of share purchases by the Company during the first quarter of 2026:</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300" w:type="dxa"/>
            <w:vAlign w:val="bottom"/>
          </w:tcPr>
          <w:p>
            <w:pPr>
              <w:spacing w:after="0"/>
              <w:rPr>
                <w:sz w:val="12"/>
                <w:szCs w:val="12"/>
                <w:color w:val="auto"/>
              </w:rPr>
            </w:pPr>
          </w:p>
        </w:tc>
        <w:tc>
          <w:tcPr>
            <w:tcW w:w="15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300" w:type="dxa"/>
            <w:vAlign w:val="bottom"/>
          </w:tcPr>
          <w:p>
            <w:pPr>
              <w:spacing w:after="0"/>
              <w:rPr>
                <w:sz w:val="12"/>
                <w:szCs w:val="12"/>
                <w:color w:val="auto"/>
              </w:rPr>
            </w:pPr>
          </w:p>
        </w:tc>
        <w:tc>
          <w:tcPr>
            <w:tcW w:w="15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6"/>
        </w:trPr>
        <w:tc>
          <w:tcPr>
            <w:tcW w:w="304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 w:type="dxa"/>
            <w:vAlign w:val="bottom"/>
          </w:tcPr>
          <w:p>
            <w:pPr>
              <w:spacing w:after="0"/>
              <w:rPr>
                <w:sz w:val="15"/>
                <w:szCs w:val="15"/>
                <w:color w:val="auto"/>
              </w:rPr>
            </w:pPr>
          </w:p>
        </w:tc>
        <w:tc>
          <w:tcPr>
            <w:tcW w:w="148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or Programs </w:t>
            </w:r>
            <w:r>
              <w:rPr>
                <w:rFonts w:ascii="Times New Roman" w:cs="Times New Roman" w:eastAsia="Times New Roman" w:hAnsi="Times New Roman"/>
                <w:sz w:val="19"/>
                <w:szCs w:val="19"/>
                <w:b w:val="1"/>
                <w:bCs w:val="1"/>
                <w:color w:val="auto"/>
                <w:w w:val="97"/>
                <w:vertAlign w:val="superscript"/>
              </w:rPr>
              <w:t>(1)</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8"/>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Programs </w:t>
            </w:r>
            <w:r>
              <w:rPr>
                <w:rFonts w:ascii="Times New Roman" w:cs="Times New Roman" w:eastAsia="Times New Roman" w:hAnsi="Times New Roman"/>
                <w:sz w:val="19"/>
                <w:szCs w:val="19"/>
                <w:b w:val="1"/>
                <w:bCs w:val="1"/>
                <w:color w:val="auto"/>
                <w:w w:val="98"/>
                <w:vertAlign w:val="superscript"/>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2026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33,795</w:t>
            </w:r>
          </w:p>
        </w:tc>
        <w:tc>
          <w:tcPr>
            <w:tcW w:w="50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125,050,905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February 2026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36,172</w:t>
            </w: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80" w:type="dxa"/>
            <w:vAlign w:val="bottom"/>
          </w:tcPr>
          <w:p>
            <w:pPr>
              <w:spacing w:after="0"/>
              <w:rPr>
                <w:sz w:val="18"/>
                <w:szCs w:val="18"/>
                <w:color w:val="auto"/>
              </w:rPr>
            </w:pP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125,050,905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2026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50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125,050,905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79,699</w:t>
            </w: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125,050,905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880" w:right="520" w:hanging="363"/>
        <w:spacing w:after="0" w:line="267" w:lineRule="auto"/>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20, 2021, the Company announced that its Board of Directors had authorized the Company to repurchase up to $150,000,000 of its outstanding common stock. Under this program, which does not have an expiration date, repurchases may be made from time to time through open market transactions, privately negotiated transactions or a combination of the foregoing, subject to applicable laws.</w:t>
      </w:r>
    </w:p>
    <w:p>
      <w:pPr>
        <w:spacing w:after="0" w:line="1" w:lineRule="exact"/>
        <w:rPr>
          <w:rFonts w:ascii="Times New Roman" w:cs="Times New Roman" w:eastAsia="Times New Roman" w:hAnsi="Times New Roman"/>
          <w:sz w:val="16"/>
          <w:szCs w:val="16"/>
          <w:color w:val="auto"/>
        </w:rPr>
      </w:pPr>
    </w:p>
    <w:p>
      <w:pPr>
        <w:jc w:val="both"/>
        <w:ind w:left="880" w:right="520" w:hanging="363"/>
        <w:spacing w:after="0" w:line="264" w:lineRule="auto"/>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904, 908 and 31,983 shares of the Company's common stock surrendered by employees to settle statutory withholding taxes related to the distribution of deferred management incentive compensation, the exercise of stock appreciation rights and shares tendered in lieu of cash for stock option exercises, respectively.</w:t>
      </w:r>
    </w:p>
    <w:p>
      <w:pPr>
        <w:jc w:val="both"/>
        <w:ind w:left="880" w:right="520" w:hanging="363"/>
        <w:spacing w:after="0" w:line="264" w:lineRule="auto"/>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8,183, 25,873, 882 and 1,234 shares of the Company's common stock surrendered by employees to settle statutory withholding taxes related to the distribution of deferred management incentive compensation, the distribution of deferred performance shares, the distribution of restricted stock units and the exercise of stock appreciation rights, respectively.</w:t>
      </w:r>
    </w:p>
    <w:p>
      <w:pPr>
        <w:ind w:left="880" w:right="520" w:hanging="363"/>
        <w:spacing w:after="0" w:line="288" w:lineRule="auto"/>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the Company's common stock surrendered by employees to settle statutory withholding taxes related to the distribution of restricted stock units.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 Exhibits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8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8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 pursuant to Exchange Act Rule 13a-14(a)/15d-14(a)</w:t>
            </w: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770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8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Vice President and Chief Financial Officer pursuant to Exchange Act Rule 13a- 14(a)/15d-14(a)</w:t>
            </w: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r>
    </w:tbl>
    <w:p>
      <w:pPr>
        <w:spacing w:after="0" w:line="130" w:lineRule="exact"/>
        <w:rPr>
          <w:sz w:val="20"/>
          <w:szCs w:val="20"/>
          <w:color w:val="auto"/>
        </w:rPr>
      </w:pPr>
    </w:p>
    <w:p>
      <w:pPr>
        <w:ind w:left="1420" w:hanging="1412"/>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Certification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-7620</wp:posOffset>
            </wp:positionV>
            <wp:extent cx="22244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22440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r>
    </w:tbl>
    <w:p>
      <w:pPr>
        <w:spacing w:after="0" w:line="103" w:lineRule="exact"/>
        <w:rPr>
          <w:sz w:val="20"/>
          <w:szCs w:val="20"/>
          <w:color w:val="auto"/>
        </w:rPr>
      </w:pPr>
    </w:p>
    <w:p>
      <w:pPr>
        <w:ind w:left="1420" w:hanging="1412"/>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ind w:left="532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STEPAN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Ruben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Ruben D. Velasquez</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PRESIDENT AND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EXCHANGE ACT RULE 13a-14(a)/15d-14(a)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Luis E. Rojo, certify that:</w:t>
      </w:r>
    </w:p>
    <w:p>
      <w:pPr>
        <w:spacing w:after="0" w:line="117"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Stepan Company;</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jc w:val="both"/>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2040" w:hanging="504"/>
        <w:spacing w:after="0" w:line="266" w:lineRule="auto"/>
        <w:tabs>
          <w:tab w:leader="none" w:pos="2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2040" w:right="20" w:hanging="504"/>
        <w:spacing w:after="0" w:line="266" w:lineRule="auto"/>
        <w:tabs>
          <w:tab w:leader="none" w:pos="2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2040" w:hanging="504"/>
        <w:spacing w:after="0" w:line="266" w:lineRule="auto"/>
        <w:tabs>
          <w:tab w:leader="none" w:pos="2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2040" w:hanging="504"/>
        <w:spacing w:after="0" w:line="266" w:lineRule="auto"/>
        <w:tabs>
          <w:tab w:leader="none" w:pos="2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independent registered public accounting firm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040" w:hanging="504"/>
        <w:spacing w:after="0" w:line="266" w:lineRule="auto"/>
        <w:tabs>
          <w:tab w:leader="none" w:pos="2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040" w:hanging="504"/>
        <w:spacing w:after="0" w:line="282" w:lineRule="auto"/>
        <w:tabs>
          <w:tab w:leader="none" w:pos="2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Luis E. Rojo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Luis E. Rojo</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VICE PRESIDENT AND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EXCHANGE ACT RULE 13a-14(a)/15d-14(a)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Ruben D. Velasquez, certify that:</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Stepan Company;</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2040" w:hanging="504"/>
        <w:spacing w:after="0" w:line="266" w:lineRule="auto"/>
        <w:tabs>
          <w:tab w:leader="none" w:pos="2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2040" w:right="20" w:hanging="504"/>
        <w:spacing w:after="0" w:line="266" w:lineRule="auto"/>
        <w:tabs>
          <w:tab w:leader="none" w:pos="2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2040" w:hanging="504"/>
        <w:spacing w:after="0" w:line="266" w:lineRule="auto"/>
        <w:tabs>
          <w:tab w:leader="none" w:pos="2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2040" w:hanging="504"/>
        <w:spacing w:after="0" w:line="266" w:lineRule="auto"/>
        <w:tabs>
          <w:tab w:leader="none" w:pos="2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independent registered public accounting firm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040" w:hanging="504"/>
        <w:spacing w:after="0" w:line="266" w:lineRule="auto"/>
        <w:tabs>
          <w:tab w:leader="none" w:pos="2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040" w:hanging="504"/>
        <w:spacing w:after="0" w:line="282" w:lineRule="auto"/>
        <w:tabs>
          <w:tab w:leader="none" w:pos="2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Ruben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Ruben D. Velasquez</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Stepan Company (the “Company”) on Form 10-Q for the period ended March 31, 2026, as filed with the Securities and Exchange Commission on the date hereof (the “Report”), each of the undersigned officers of the Company certifies, pursuant to 18 U.S.C. § 1350, as adopted pursuant to § 906 of the Sarbanes-Oxley Act of 2002, that, to such officer’s knowledge:</w:t>
      </w:r>
    </w:p>
    <w:p>
      <w:pPr>
        <w:spacing w:after="0" w:line="68"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E. Rojo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3474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Luis E. Rojo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Ruben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347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Ruben D. Velasquez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 and Chief Financial Officer</w:t>
      </w:r>
    </w:p>
    <w:p>
      <w:pPr>
        <w:spacing w:after="0" w:line="205"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3"/>
    </w:lvl>
  </w:abstractNum>
  <w:abstractNum w:abstractNumId="4">
    <w:nsid w:val="436C6125"/>
    <w:multiLevelType w:val="hybridMultilevel"/>
    <w:lvl w:ilvl="0">
      <w:lvlJc w:val="left"/>
      <w:lvlText w:val="%1."/>
      <w:numFmt w:val="decimal"/>
      <w:start w:val="4"/>
    </w:lvl>
  </w:abstractNum>
  <w:abstractNum w:abstractNumId="5">
    <w:nsid w:val="628C895D"/>
    <w:multiLevelType w:val="hybridMultilevel"/>
    <w:lvl w:ilvl="0">
      <w:lvlJc w:val="left"/>
      <w:lvlText w:val="%1."/>
      <w:numFmt w:val="decimal"/>
      <w:start w:val="5"/>
    </w:lvl>
  </w:abstractNum>
  <w:abstractNum w:abstractNumId="6">
    <w:nsid w:val="333AB105"/>
    <w:multiLevelType w:val="hybridMultilevel"/>
    <w:lvl w:ilvl="0">
      <w:lvlJc w:val="left"/>
      <w:lvlText w:val="%1."/>
      <w:numFmt w:val="decimal"/>
      <w:start w:val="6"/>
    </w:lvl>
  </w:abstractNum>
  <w:abstractNum w:abstractNumId="7">
    <w:nsid w:val="721DA317"/>
    <w:multiLevelType w:val="hybridMultilevel"/>
    <w:lvl w:ilvl="0">
      <w:lvlJc w:val="left"/>
      <w:lvlText w:val="%1."/>
      <w:numFmt w:val="decimal"/>
      <w:start w:val="7"/>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8"/>
    </w:lvl>
  </w:abstractNum>
  <w:abstractNum w:abstractNumId="10">
    <w:nsid w:val="6763845E"/>
    <w:multiLevelType w:val="hybridMultilevel"/>
    <w:lvl w:ilvl="0">
      <w:lvlJc w:val="left"/>
      <w:lvlText w:val="%1."/>
      <w:numFmt w:val="decimal"/>
      <w:start w:val="9"/>
    </w:lvl>
  </w:abstractNum>
  <w:abstractNum w:abstractNumId="11">
    <w:nsid w:val="75A2A8D4"/>
    <w:multiLevelType w:val="hybridMultilevel"/>
    <w:lvl w:ilvl="0">
      <w:lvlJc w:val="left"/>
      <w:lvlText w:val="%1."/>
      <w:numFmt w:val="decimal"/>
      <w:start w:val="10"/>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1"/>
    </w:lvl>
  </w:abstractNum>
  <w:abstractNum w:abstractNumId="14">
    <w:nsid w:val="4353D0CD"/>
    <w:multiLevelType w:val="hybridMultilevel"/>
    <w:lvl w:ilvl="0">
      <w:lvlJc w:val="left"/>
      <w:lvlText w:val="%1"/>
      <w:numFmt w:val="decimal"/>
      <w:start w:val="1"/>
    </w:lvl>
    <w:lvl w:ilvl="1">
      <w:lvlJc w:val="left"/>
      <w:lvlText w:val="(%2)"/>
      <w:numFmt w:val="decimal"/>
      <w:start w:val="1"/>
    </w:lvl>
  </w:abstractNum>
  <w:abstractNum w:abstractNumId="15">
    <w:nsid w:val="B03E0C6"/>
    <w:multiLevelType w:val="hybridMultilevel"/>
    <w:lvl w:ilvl="0">
      <w:lvlJc w:val="left"/>
      <w:lvlText w:val="%1."/>
      <w:numFmt w:val="decimal"/>
      <w:start w:val="12"/>
    </w:lvl>
    <w:lvl w:ilvl="1">
      <w:lvlJc w:val="left"/>
      <w:lvlText w:val="%2"/>
      <w:numFmt w:val="decimal"/>
      <w:start w:val="1"/>
    </w:lvl>
  </w:abstractNum>
  <w:abstractNum w:abstractNumId="16">
    <w:nsid w:val="189A769B"/>
    <w:multiLevelType w:val="hybridMultilevel"/>
    <w:lvl w:ilvl="0">
      <w:lvlJc w:val="left"/>
      <w:lvlText w:val="%1"/>
      <w:numFmt w:val="decimal"/>
      <w:start w:val="1"/>
    </w:lvl>
    <w:lvl w:ilvl="1">
      <w:lvlJc w:val="left"/>
      <w:lvlText w:val="(%2)"/>
      <w:numFmt w:val="decimal"/>
      <w:start w:val="1"/>
    </w:lvl>
  </w:abstractNum>
  <w:abstractNum w:abstractNumId="17">
    <w:nsid w:val="54E49EB4"/>
    <w:multiLevelType w:val="hybridMultilevel"/>
    <w:lvl w:ilvl="0">
      <w:lvlJc w:val="left"/>
      <w:lvlText w:val="%1."/>
      <w:numFmt w:val="decimal"/>
      <w:start w:val="13"/>
    </w:lvl>
    <w:lvl w:ilvl="1">
      <w:lvlJc w:val="left"/>
      <w:lvlText w:val="%2"/>
      <w:numFmt w:val="decimal"/>
      <w:start w:val="1"/>
    </w:lvl>
  </w:abstractNum>
  <w:abstractNum w:abstractNumId="18">
    <w:nsid w:val="71F32454"/>
    <w:multiLevelType w:val="hybridMultilevel"/>
    <w:lvl w:ilvl="0">
      <w:lvlJc w:val="left"/>
      <w:lvlText w:val="%1."/>
      <w:numFmt w:val="decimal"/>
      <w:start w:val="14"/>
    </w:lvl>
  </w:abstractNum>
  <w:abstractNum w:abstractNumId="19">
    <w:nsid w:val="2CA88611"/>
    <w:multiLevelType w:val="hybridMultilevel"/>
    <w:lvl w:ilvl="0">
      <w:lvlJc w:val="left"/>
      <w:lvlText w:val="%1."/>
      <w:numFmt w:val="decimal"/>
      <w:start w:val="15"/>
    </w:lvl>
  </w:abstractNum>
  <w:abstractNum w:abstractNumId="20">
    <w:nsid w:val="836C40E"/>
    <w:multiLevelType w:val="hybridMultilevel"/>
    <w:lvl w:ilvl="0">
      <w:lvlJc w:val="left"/>
      <w:lvlText w:val="%1."/>
      <w:numFmt w:val="decimal"/>
      <w:start w:val="16"/>
    </w:lvl>
  </w:abstractNum>
  <w:abstractNum w:abstractNumId="21">
    <w:nsid w:val="2901D82"/>
    <w:multiLevelType w:val="hybridMultilevel"/>
    <w:lvl w:ilvl="0">
      <w:lvlJc w:val="left"/>
      <w:lvlText w:val="%1."/>
      <w:numFmt w:val="decimal"/>
      <w:start w:val="17"/>
    </w:lvl>
  </w:abstractNum>
  <w:abstractNum w:abstractNumId="22">
    <w:nsid w:val="3A95F874"/>
    <w:multiLevelType w:val="hybridMultilevel"/>
    <w:lvl w:ilvl="0">
      <w:lvlJc w:val="left"/>
      <w:lvlText w:val="%1."/>
      <w:numFmt w:val="decimal"/>
      <w:start w:val="19"/>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32"/>
    </w:lvl>
  </w:abstractNum>
  <w:abstractNum w:abstractNumId="32">
    <w:nsid w:val="419AC241"/>
    <w:multiLevelType w:val="hybridMultilevel"/>
    <w:lvl w:ilvl="0">
      <w:lvlJc w:val="left"/>
      <w:lvlText w:val="%1"/>
      <w:numFmt w:val="decimal"/>
      <w:start w:val="104"/>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2026-05-06T10:44:06Z</dcterms:created>
  <dcterms:modified xsi:type="dcterms:W3CDTF">2026-05-06T10:44:06Z</dcterms:modified>
</cp:coreProperties>
</file>